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BDB0" w14:textId="77777777" w:rsidR="002509A3" w:rsidRDefault="002509A3"/>
    <w:tbl>
      <w:tblPr>
        <w:tblpPr w:leftFromText="180" w:rightFromText="180" w:tblpY="-680"/>
        <w:tblW w:w="9923" w:type="dxa"/>
        <w:tblLayout w:type="fixed"/>
        <w:tblCellMar>
          <w:left w:w="107" w:type="dxa"/>
          <w:right w:w="107" w:type="dxa"/>
        </w:tblCellMar>
        <w:tblLook w:val="0000" w:firstRow="0" w:lastRow="0" w:firstColumn="0" w:lastColumn="0" w:noHBand="0" w:noVBand="0"/>
        <w:tblCaption w:val="Informations générales sur le document (Commission d'études, réunion, numéro de document, Question, origine, titre)"/>
        <w:tblDescription w:val="Informations générales sur le document (Commission d'études, réunion, numéro de document, Question, origine, titre)"/>
      </w:tblPr>
      <w:tblGrid>
        <w:gridCol w:w="2092"/>
        <w:gridCol w:w="4536"/>
        <w:gridCol w:w="3295"/>
      </w:tblGrid>
      <w:tr w:rsidR="003B7FB9" w:rsidRPr="00F178D9" w14:paraId="3004BEA6" w14:textId="77777777" w:rsidTr="00122AFC">
        <w:trPr>
          <w:cantSplit/>
        </w:trPr>
        <w:tc>
          <w:tcPr>
            <w:tcW w:w="6628" w:type="dxa"/>
            <w:gridSpan w:val="2"/>
          </w:tcPr>
          <w:p w14:paraId="59C3E1BA" w14:textId="77777777" w:rsidR="003B7FB9" w:rsidRPr="006F3D93" w:rsidRDefault="003B7FB9" w:rsidP="003B7FB9">
            <w:pPr>
              <w:rPr>
                <w:sz w:val="32"/>
                <w:szCs w:val="32"/>
              </w:rPr>
            </w:pPr>
            <w:r w:rsidRPr="006F3D93">
              <w:rPr>
                <w:b/>
                <w:bCs/>
                <w:sz w:val="32"/>
                <w:szCs w:val="32"/>
              </w:rPr>
              <w:t>Telecommunication</w:t>
            </w:r>
            <w:r>
              <w:rPr>
                <w:b/>
                <w:bCs/>
                <w:sz w:val="32"/>
                <w:szCs w:val="32"/>
              </w:rPr>
              <w:br/>
            </w:r>
            <w:r w:rsidRPr="006F3D93">
              <w:rPr>
                <w:b/>
                <w:bCs/>
                <w:sz w:val="32"/>
                <w:szCs w:val="32"/>
              </w:rPr>
              <w:t>Development Sector</w:t>
            </w:r>
          </w:p>
          <w:p w14:paraId="4AB77FC6" w14:textId="77777777" w:rsidR="003B7FB9" w:rsidRPr="00844A56" w:rsidRDefault="003B7FB9" w:rsidP="003B7FB9">
            <w:pPr>
              <w:spacing w:before="40" w:after="40"/>
              <w:rPr>
                <w:rFonts w:ascii="Verdana" w:hAnsi="Verdana"/>
                <w:sz w:val="28"/>
                <w:szCs w:val="28"/>
              </w:rPr>
            </w:pPr>
            <w:r w:rsidRPr="00844A56">
              <w:rPr>
                <w:b/>
                <w:bCs/>
                <w:sz w:val="28"/>
                <w:szCs w:val="28"/>
              </w:rPr>
              <w:t>Study Groups</w:t>
            </w:r>
          </w:p>
        </w:tc>
        <w:tc>
          <w:tcPr>
            <w:tcW w:w="3295" w:type="dxa"/>
          </w:tcPr>
          <w:p w14:paraId="7CADBBA6" w14:textId="77777777" w:rsidR="003B7FB9" w:rsidRPr="00412771" w:rsidRDefault="00ED1437" w:rsidP="003B7FB9">
            <w:pPr>
              <w:spacing w:before="40" w:after="80"/>
              <w:ind w:right="142"/>
              <w:jc w:val="right"/>
              <w:rPr>
                <w:lang w:val="fr-CH"/>
              </w:rPr>
            </w:pPr>
            <w:r>
              <w:rPr>
                <w:noProof/>
              </w:rPr>
              <w:drawing>
                <wp:inline distT="0" distB="0" distL="0" distR="0" wp14:anchorId="162C0232" wp14:editId="315D01BF">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FC03EE" w:rsidRPr="00F178D9" w14:paraId="583A5C36" w14:textId="77777777" w:rsidTr="00122AFC">
        <w:trPr>
          <w:cantSplit/>
        </w:trPr>
        <w:tc>
          <w:tcPr>
            <w:tcW w:w="9923" w:type="dxa"/>
            <w:gridSpan w:val="3"/>
            <w:vAlign w:val="center"/>
          </w:tcPr>
          <w:p w14:paraId="1F032F4D" w14:textId="734E0217" w:rsidR="00FC03EE" w:rsidRPr="008D41FF" w:rsidRDefault="00FC03EE" w:rsidP="00FC03EE">
            <w:pPr>
              <w:rPr>
                <w:b/>
                <w:bCs/>
                <w:sz w:val="26"/>
                <w:szCs w:val="26"/>
              </w:rPr>
            </w:pPr>
            <w:bookmarkStart w:id="0" w:name="Meeting"/>
            <w:bookmarkEnd w:id="0"/>
            <w:r>
              <w:rPr>
                <w:b/>
                <w:bCs/>
                <w:sz w:val="26"/>
                <w:szCs w:val="26"/>
              </w:rPr>
              <w:t>ITU-D Study Group 1 Rapporteur Group Meetings</w:t>
            </w:r>
          </w:p>
        </w:tc>
      </w:tr>
      <w:tr w:rsidR="00FC03EE" w:rsidRPr="00F178D9" w14:paraId="0EFE8F01" w14:textId="77777777" w:rsidTr="00122AFC">
        <w:trPr>
          <w:cantSplit/>
        </w:trPr>
        <w:tc>
          <w:tcPr>
            <w:tcW w:w="9923" w:type="dxa"/>
            <w:gridSpan w:val="3"/>
            <w:tcBorders>
              <w:bottom w:val="single" w:sz="12" w:space="0" w:color="auto"/>
            </w:tcBorders>
            <w:vAlign w:val="center"/>
          </w:tcPr>
          <w:p w14:paraId="51F06925" w14:textId="7D00CFDE" w:rsidR="00FC03EE" w:rsidRPr="00F178D9" w:rsidRDefault="00FC03EE" w:rsidP="00FC03EE">
            <w:pPr>
              <w:spacing w:before="0"/>
              <w:rPr>
                <w:b/>
                <w:bCs/>
                <w:szCs w:val="24"/>
              </w:rPr>
            </w:pPr>
            <w:bookmarkStart w:id="1" w:name="PlaceDate"/>
            <w:bookmarkEnd w:id="1"/>
            <w:r>
              <w:rPr>
                <w:b/>
                <w:bCs/>
                <w:szCs w:val="24"/>
              </w:rPr>
              <w:t>Geneva, 21 September – 2 October 2020</w:t>
            </w:r>
          </w:p>
        </w:tc>
      </w:tr>
      <w:tr w:rsidR="003B7FB9" w:rsidRPr="00F178D9" w14:paraId="264DEBC8" w14:textId="77777777" w:rsidTr="00122AFC">
        <w:trPr>
          <w:cantSplit/>
        </w:trPr>
        <w:tc>
          <w:tcPr>
            <w:tcW w:w="6628" w:type="dxa"/>
            <w:gridSpan w:val="2"/>
          </w:tcPr>
          <w:p w14:paraId="56C0D5AE" w14:textId="77777777" w:rsidR="003B7FB9" w:rsidRPr="00F178D9" w:rsidRDefault="003B7FB9" w:rsidP="003B7FB9">
            <w:pPr>
              <w:spacing w:before="0"/>
              <w:rPr>
                <w:rFonts w:cs="Arial"/>
                <w:b/>
                <w:bCs/>
                <w:szCs w:val="24"/>
                <w:lang w:val="fr-CH"/>
              </w:rPr>
            </w:pPr>
          </w:p>
        </w:tc>
        <w:tc>
          <w:tcPr>
            <w:tcW w:w="3295" w:type="dxa"/>
          </w:tcPr>
          <w:p w14:paraId="3ED25684" w14:textId="77777777" w:rsidR="003B7FB9" w:rsidRPr="00F178D9" w:rsidRDefault="003B7FB9" w:rsidP="003B7FB9">
            <w:pPr>
              <w:spacing w:before="0"/>
              <w:rPr>
                <w:b/>
                <w:bCs/>
                <w:szCs w:val="24"/>
                <w:lang w:val="fr-CH"/>
              </w:rPr>
            </w:pPr>
          </w:p>
        </w:tc>
      </w:tr>
      <w:tr w:rsidR="00FC03EE" w:rsidRPr="00F178D9" w14:paraId="748C5301" w14:textId="77777777" w:rsidTr="00122AFC">
        <w:trPr>
          <w:cantSplit/>
        </w:trPr>
        <w:tc>
          <w:tcPr>
            <w:tcW w:w="6628" w:type="dxa"/>
            <w:gridSpan w:val="2"/>
            <w:vMerge w:val="restart"/>
          </w:tcPr>
          <w:p w14:paraId="165B2BBB" w14:textId="77777777" w:rsidR="00FC03EE" w:rsidRPr="00F178D9" w:rsidRDefault="00FC03EE" w:rsidP="00FC03EE">
            <w:pPr>
              <w:rPr>
                <w:rFonts w:cs="Arial"/>
                <w:b/>
                <w:bCs/>
                <w:szCs w:val="24"/>
                <w:lang w:val="fr-CH"/>
              </w:rPr>
            </w:pPr>
          </w:p>
        </w:tc>
        <w:tc>
          <w:tcPr>
            <w:tcW w:w="3295" w:type="dxa"/>
          </w:tcPr>
          <w:p w14:paraId="42A950C4" w14:textId="09AAB0EA" w:rsidR="00FC03EE" w:rsidRPr="00F178D9" w:rsidRDefault="00FC03EE" w:rsidP="00FC03EE">
            <w:pPr>
              <w:spacing w:before="0"/>
              <w:rPr>
                <w:bCs/>
                <w:szCs w:val="24"/>
                <w:lang w:val="fr-CH"/>
              </w:rPr>
            </w:pPr>
            <w:r>
              <w:rPr>
                <w:b/>
                <w:bCs/>
                <w:szCs w:val="24"/>
                <w:lang w:val="fr-CH"/>
              </w:rPr>
              <w:t xml:space="preserve">Document </w:t>
            </w:r>
            <w:bookmarkStart w:id="2" w:name="DocRef1"/>
            <w:bookmarkEnd w:id="2"/>
            <w:r>
              <w:fldChar w:fldCharType="begin"/>
            </w:r>
            <w:r>
              <w:instrText>HYPERLINK "http://www.itu.int/md/D18-SG01.RGQ-C-0386/"</w:instrText>
            </w:r>
            <w:r>
              <w:fldChar w:fldCharType="separate"/>
            </w:r>
            <w:r>
              <w:rPr>
                <w:rStyle w:val="Hyperlink"/>
                <w:b/>
                <w:bCs/>
                <w:lang w:val="es-ES"/>
              </w:rPr>
              <w:t>SG1RGQ/386-E</w:t>
            </w:r>
            <w:r>
              <w:fldChar w:fldCharType="end"/>
            </w:r>
          </w:p>
        </w:tc>
      </w:tr>
      <w:tr w:rsidR="00FC03EE" w:rsidRPr="00F178D9" w14:paraId="24B4CBA8" w14:textId="77777777" w:rsidTr="00122AFC">
        <w:trPr>
          <w:cantSplit/>
        </w:trPr>
        <w:tc>
          <w:tcPr>
            <w:tcW w:w="6628" w:type="dxa"/>
            <w:gridSpan w:val="2"/>
            <w:vMerge/>
          </w:tcPr>
          <w:p w14:paraId="46594B78" w14:textId="77777777" w:rsidR="00FC03EE" w:rsidRPr="00F178D9" w:rsidRDefault="00FC03EE" w:rsidP="00FC03EE">
            <w:pPr>
              <w:spacing w:after="120"/>
              <w:rPr>
                <w:b/>
                <w:bCs/>
                <w:smallCaps/>
                <w:szCs w:val="24"/>
                <w:lang w:val="fr-CH"/>
              </w:rPr>
            </w:pPr>
          </w:p>
        </w:tc>
        <w:tc>
          <w:tcPr>
            <w:tcW w:w="3295" w:type="dxa"/>
          </w:tcPr>
          <w:p w14:paraId="6AB1090B" w14:textId="4D570C02" w:rsidR="00FC03EE" w:rsidRPr="00AA1F8D" w:rsidRDefault="00FC03EE" w:rsidP="00FC03EE">
            <w:pPr>
              <w:spacing w:before="0"/>
              <w:rPr>
                <w:b/>
                <w:szCs w:val="24"/>
                <w:lang w:val="fr-CH"/>
              </w:rPr>
            </w:pPr>
            <w:bookmarkStart w:id="3" w:name="CreationDate"/>
            <w:bookmarkEnd w:id="3"/>
            <w:r>
              <w:rPr>
                <w:rFonts w:hint="eastAsia"/>
                <w:b/>
                <w:szCs w:val="24"/>
                <w:lang w:val="fr-CH" w:eastAsia="ja-JP"/>
              </w:rPr>
              <w:t xml:space="preserve">8 </w:t>
            </w:r>
            <w:proofErr w:type="spellStart"/>
            <w:r>
              <w:rPr>
                <w:rFonts w:hint="eastAsia"/>
                <w:b/>
                <w:szCs w:val="24"/>
                <w:lang w:val="fr-CH" w:eastAsia="ja-JP"/>
              </w:rPr>
              <w:t>September</w:t>
            </w:r>
            <w:proofErr w:type="spellEnd"/>
            <w:r>
              <w:rPr>
                <w:b/>
                <w:szCs w:val="24"/>
                <w:lang w:val="fr-CH"/>
              </w:rPr>
              <w:t xml:space="preserve"> 2020</w:t>
            </w:r>
          </w:p>
        </w:tc>
      </w:tr>
      <w:tr w:rsidR="00FC03EE" w:rsidRPr="00F178D9" w14:paraId="37FEC63B" w14:textId="77777777" w:rsidTr="00122AFC">
        <w:trPr>
          <w:cantSplit/>
        </w:trPr>
        <w:tc>
          <w:tcPr>
            <w:tcW w:w="6628" w:type="dxa"/>
            <w:gridSpan w:val="2"/>
            <w:vMerge/>
          </w:tcPr>
          <w:p w14:paraId="46F5ABA5" w14:textId="77777777" w:rsidR="00FC03EE" w:rsidRPr="00F178D9" w:rsidRDefault="00FC03EE" w:rsidP="00FC03EE">
            <w:pPr>
              <w:spacing w:after="120"/>
              <w:rPr>
                <w:b/>
                <w:bCs/>
                <w:smallCaps/>
                <w:szCs w:val="24"/>
                <w:lang w:val="fr-CH"/>
              </w:rPr>
            </w:pPr>
          </w:p>
        </w:tc>
        <w:tc>
          <w:tcPr>
            <w:tcW w:w="3295" w:type="dxa"/>
          </w:tcPr>
          <w:p w14:paraId="53040EE2" w14:textId="77777777" w:rsidR="00FC03EE" w:rsidRDefault="00FC03EE" w:rsidP="00FC03EE">
            <w:pPr>
              <w:spacing w:before="0" w:after="120"/>
              <w:rPr>
                <w:b/>
              </w:rPr>
            </w:pPr>
            <w:r>
              <w:rPr>
                <w:b/>
              </w:rPr>
              <w:t>English only</w:t>
            </w:r>
          </w:p>
          <w:p w14:paraId="59C6BAF2" w14:textId="5DBBD0F0" w:rsidR="00FC03EE" w:rsidRPr="00F178D9" w:rsidRDefault="00FC03EE" w:rsidP="00FC03EE">
            <w:pPr>
              <w:spacing w:before="0" w:after="240"/>
              <w:rPr>
                <w:b/>
                <w:bCs/>
                <w:szCs w:val="24"/>
                <w:lang w:val="fr-CH"/>
              </w:rPr>
            </w:pPr>
            <w:r>
              <w:rPr>
                <w:b/>
              </w:rPr>
              <w:t>DELAYED CONTRIBUTION</w:t>
            </w:r>
          </w:p>
        </w:tc>
      </w:tr>
      <w:tr w:rsidR="00FC03EE" w:rsidRPr="00F178D9" w14:paraId="75111F9B" w14:textId="77777777" w:rsidTr="00122AFC">
        <w:trPr>
          <w:cantSplit/>
        </w:trPr>
        <w:tc>
          <w:tcPr>
            <w:tcW w:w="9923" w:type="dxa"/>
            <w:gridSpan w:val="3"/>
          </w:tcPr>
          <w:p w14:paraId="4407A9FD" w14:textId="77777777" w:rsidR="00FC03EE" w:rsidRPr="00C87D42" w:rsidRDefault="00FC03EE" w:rsidP="00FC03EE">
            <w:pPr>
              <w:pStyle w:val="Source"/>
              <w:tabs>
                <w:tab w:val="clear" w:pos="794"/>
                <w:tab w:val="clear" w:pos="1191"/>
                <w:tab w:val="clear" w:pos="1588"/>
                <w:tab w:val="clear" w:pos="1985"/>
                <w:tab w:val="left" w:pos="2127"/>
              </w:tabs>
              <w:spacing w:after="0" w:afterAutospacing="0"/>
              <w:ind w:left="2127" w:hanging="2127"/>
            </w:pPr>
            <w:bookmarkStart w:id="4" w:name="QShort"/>
            <w:bookmarkEnd w:id="4"/>
            <w:r w:rsidRPr="00C87D42">
              <w:t xml:space="preserve">Question 5/1: </w:t>
            </w:r>
            <w:r w:rsidRPr="00C87D42">
              <w:tab/>
              <w:t>Telecommunications/ICTs for rural and remote areas</w:t>
            </w:r>
          </w:p>
        </w:tc>
      </w:tr>
      <w:tr w:rsidR="00FC03EE" w:rsidRPr="00F178D9" w14:paraId="0B3ACE9E" w14:textId="77777777" w:rsidTr="00122AFC">
        <w:trPr>
          <w:cantSplit/>
        </w:trPr>
        <w:tc>
          <w:tcPr>
            <w:tcW w:w="2092" w:type="dxa"/>
          </w:tcPr>
          <w:p w14:paraId="2CF66F33" w14:textId="7451BEE5" w:rsidR="00FC03EE" w:rsidRPr="00F178D9" w:rsidRDefault="00FC03EE" w:rsidP="00FC03EE">
            <w:pPr>
              <w:pStyle w:val="Source"/>
              <w:spacing w:after="0" w:afterAutospacing="0"/>
            </w:pPr>
            <w:r w:rsidRPr="009F3EB2">
              <w:t>SOURCE</w:t>
            </w:r>
            <w:r w:rsidRPr="00F178D9">
              <w:t>:</w:t>
            </w:r>
          </w:p>
        </w:tc>
        <w:tc>
          <w:tcPr>
            <w:tcW w:w="7831" w:type="dxa"/>
            <w:gridSpan w:val="2"/>
          </w:tcPr>
          <w:p w14:paraId="0514D4F8" w14:textId="4D6D0E27" w:rsidR="00FC03EE" w:rsidRPr="00F178D9" w:rsidRDefault="00FC03EE" w:rsidP="00FC03EE">
            <w:pPr>
              <w:pStyle w:val="Source"/>
              <w:tabs>
                <w:tab w:val="clear" w:pos="794"/>
                <w:tab w:val="clear" w:pos="1191"/>
                <w:tab w:val="clear" w:pos="1588"/>
                <w:tab w:val="clear" w:pos="1985"/>
              </w:tabs>
              <w:spacing w:after="0" w:afterAutospacing="0"/>
              <w:rPr>
                <w:b w:val="0"/>
                <w:bCs/>
                <w:lang w:val="fr-CH"/>
              </w:rPr>
            </w:pPr>
            <w:bookmarkStart w:id="5" w:name="Source"/>
            <w:bookmarkEnd w:id="5"/>
            <w:r>
              <w:rPr>
                <w:b w:val="0"/>
                <w:bCs/>
                <w:lang w:val="fr-CH"/>
              </w:rPr>
              <w:t>Association for Progressive Communications (APC)</w:t>
            </w:r>
          </w:p>
        </w:tc>
      </w:tr>
      <w:tr w:rsidR="00FC03EE" w:rsidRPr="00F178D9" w14:paraId="0F787028" w14:textId="77777777" w:rsidTr="00122AFC">
        <w:trPr>
          <w:cantSplit/>
        </w:trPr>
        <w:tc>
          <w:tcPr>
            <w:tcW w:w="2092" w:type="dxa"/>
          </w:tcPr>
          <w:p w14:paraId="6A15306E" w14:textId="4B564F49" w:rsidR="00FC03EE" w:rsidRPr="00F178D9" w:rsidRDefault="00FC03EE" w:rsidP="00FC03EE">
            <w:pPr>
              <w:pStyle w:val="Source"/>
              <w:spacing w:after="120" w:afterAutospacing="0"/>
            </w:pPr>
            <w:r w:rsidRPr="00E94BAB">
              <w:t>TITLE</w:t>
            </w:r>
            <w:r w:rsidRPr="00F178D9">
              <w:t>:</w:t>
            </w:r>
          </w:p>
        </w:tc>
        <w:tc>
          <w:tcPr>
            <w:tcW w:w="7831" w:type="dxa"/>
            <w:gridSpan w:val="2"/>
          </w:tcPr>
          <w:p w14:paraId="49EFCC2B" w14:textId="1F762E07" w:rsidR="00FC03EE" w:rsidRPr="008D41FF" w:rsidRDefault="00FC03EE" w:rsidP="00FC03EE">
            <w:pPr>
              <w:pStyle w:val="Source"/>
              <w:tabs>
                <w:tab w:val="clear" w:pos="794"/>
                <w:tab w:val="clear" w:pos="1191"/>
                <w:tab w:val="clear" w:pos="1588"/>
                <w:tab w:val="clear" w:pos="1985"/>
              </w:tabs>
              <w:spacing w:after="120" w:afterAutospacing="0"/>
              <w:rPr>
                <w:b w:val="0"/>
                <w:bCs/>
              </w:rPr>
            </w:pPr>
            <w:bookmarkStart w:id="6" w:name="Title"/>
            <w:bookmarkEnd w:id="6"/>
            <w:r w:rsidRPr="008D41FF">
              <w:rPr>
                <w:b w:val="0"/>
                <w:bCs/>
              </w:rPr>
              <w:t xml:space="preserve">The Role of Community Networks as a response to the </w:t>
            </w:r>
            <w:r w:rsidR="008D41FF" w:rsidRPr="008D41FF">
              <w:rPr>
                <w:b w:val="0"/>
                <w:bCs/>
              </w:rPr>
              <w:t>COVID</w:t>
            </w:r>
            <w:r w:rsidRPr="008D41FF">
              <w:rPr>
                <w:b w:val="0"/>
                <w:bCs/>
              </w:rPr>
              <w:t>-19 pandemic</w:t>
            </w:r>
          </w:p>
        </w:tc>
      </w:tr>
      <w:tr w:rsidR="00FC03EE" w:rsidRPr="00F178D9" w14:paraId="56B1E1D7" w14:textId="77777777" w:rsidTr="00122AFC">
        <w:trPr>
          <w:cantSplit/>
        </w:trPr>
        <w:tc>
          <w:tcPr>
            <w:tcW w:w="9923" w:type="dxa"/>
            <w:gridSpan w:val="3"/>
          </w:tcPr>
          <w:p w14:paraId="1A735C8A" w14:textId="492C8E71" w:rsidR="00FC03EE" w:rsidRPr="008D41FF" w:rsidRDefault="00FC03EE" w:rsidP="00FC03EE">
            <w:pPr>
              <w:pStyle w:val="Source"/>
              <w:tabs>
                <w:tab w:val="clear" w:pos="794"/>
                <w:tab w:val="clear" w:pos="1191"/>
                <w:tab w:val="clear" w:pos="1588"/>
                <w:tab w:val="clear" w:pos="1985"/>
              </w:tabs>
              <w:spacing w:after="120" w:afterAutospacing="0"/>
              <w:ind w:left="2552" w:hanging="2552"/>
              <w:rPr>
                <w:b w:val="0"/>
              </w:rPr>
            </w:pPr>
            <w:bookmarkStart w:id="7" w:name="RefDoc"/>
            <w:bookmarkEnd w:id="7"/>
          </w:p>
        </w:tc>
      </w:tr>
      <w:tr w:rsidR="00FC03EE" w:rsidRPr="00F178D9" w14:paraId="3258B665" w14:textId="77777777" w:rsidTr="00122AFC">
        <w:trPr>
          <w:cantSplit/>
        </w:trPr>
        <w:tc>
          <w:tcPr>
            <w:tcW w:w="2092" w:type="dxa"/>
          </w:tcPr>
          <w:p w14:paraId="0131C86E" w14:textId="4D61669B" w:rsidR="00FC03EE" w:rsidRPr="00F178D9" w:rsidRDefault="00FC03EE" w:rsidP="00FC03EE">
            <w:pPr>
              <w:pStyle w:val="Source"/>
              <w:tabs>
                <w:tab w:val="clear" w:pos="794"/>
                <w:tab w:val="clear" w:pos="1191"/>
                <w:tab w:val="clear" w:pos="1588"/>
                <w:tab w:val="clear" w:pos="1985"/>
              </w:tabs>
              <w:spacing w:after="120" w:afterAutospacing="0"/>
              <w:ind w:left="2552" w:hanging="2552"/>
              <w:rPr>
                <w:b w:val="0"/>
                <w:lang w:val="fr-CH"/>
              </w:rPr>
            </w:pPr>
            <w:r w:rsidRPr="002548C3">
              <w:rPr>
                <w:rFonts w:cs="Times New Roman Bold"/>
                <w:szCs w:val="18"/>
              </w:rPr>
              <w:t>Action required</w:t>
            </w:r>
            <w:r w:rsidRPr="00F178D9">
              <w:t>:</w:t>
            </w:r>
          </w:p>
        </w:tc>
        <w:tc>
          <w:tcPr>
            <w:tcW w:w="7831" w:type="dxa"/>
            <w:gridSpan w:val="2"/>
          </w:tcPr>
          <w:p w14:paraId="6DE2D6D6" w14:textId="4F9CB1FF" w:rsidR="00FC03EE" w:rsidRPr="008D41FF" w:rsidRDefault="00FC03EE" w:rsidP="00FC03EE">
            <w:pPr>
              <w:pStyle w:val="Source"/>
              <w:tabs>
                <w:tab w:val="clear" w:pos="794"/>
                <w:tab w:val="clear" w:pos="1191"/>
                <w:tab w:val="clear" w:pos="1588"/>
                <w:tab w:val="clear" w:pos="1985"/>
              </w:tabs>
              <w:spacing w:after="120" w:afterAutospacing="0"/>
              <w:rPr>
                <w:b w:val="0"/>
              </w:rPr>
            </w:pPr>
            <w:bookmarkStart w:id="8" w:name="ActionReq"/>
            <w:bookmarkEnd w:id="8"/>
            <w:r w:rsidRPr="008D41FF">
              <w:rPr>
                <w:b w:val="0"/>
              </w:rPr>
              <w:t>To be consider</w:t>
            </w:r>
            <w:r w:rsidR="008D41FF">
              <w:rPr>
                <w:b w:val="0"/>
              </w:rPr>
              <w:t>ed</w:t>
            </w:r>
            <w:r w:rsidRPr="008D41FF">
              <w:rPr>
                <w:b w:val="0"/>
              </w:rPr>
              <w:t xml:space="preserve"> for presentation during the </w:t>
            </w:r>
            <w:r w:rsidR="008D41FF">
              <w:rPr>
                <w:b w:val="0"/>
              </w:rPr>
              <w:t>meeting</w:t>
            </w:r>
          </w:p>
        </w:tc>
      </w:tr>
      <w:tr w:rsidR="00FC03EE" w:rsidRPr="00F178D9" w14:paraId="62893958" w14:textId="77777777" w:rsidTr="00122AFC">
        <w:trPr>
          <w:cantSplit/>
        </w:trPr>
        <w:tc>
          <w:tcPr>
            <w:tcW w:w="2092" w:type="dxa"/>
          </w:tcPr>
          <w:p w14:paraId="105A203A" w14:textId="77777777" w:rsidR="00FC03EE" w:rsidRPr="00F178D9" w:rsidRDefault="00FC03EE" w:rsidP="00FC03EE">
            <w:pPr>
              <w:pStyle w:val="Source"/>
              <w:tabs>
                <w:tab w:val="clear" w:pos="794"/>
                <w:tab w:val="clear" w:pos="1191"/>
                <w:tab w:val="clear" w:pos="1588"/>
                <w:tab w:val="clear" w:pos="1985"/>
              </w:tabs>
              <w:spacing w:after="120" w:afterAutospacing="0"/>
              <w:rPr>
                <w:b w:val="0"/>
                <w:bCs/>
                <w:i/>
                <w:iCs/>
              </w:rPr>
            </w:pPr>
            <w:r w:rsidRPr="0030071A">
              <w:rPr>
                <w:rFonts w:cs="Times New Roman Bold"/>
                <w:b w:val="0"/>
                <w:bCs/>
                <w:i/>
                <w:iCs/>
                <w:szCs w:val="18"/>
              </w:rPr>
              <w:t>Keywords</w:t>
            </w:r>
            <w:r>
              <w:rPr>
                <w:b w:val="0"/>
                <w:bCs/>
                <w:i/>
                <w:iCs/>
              </w:rPr>
              <w:t>:</w:t>
            </w:r>
          </w:p>
        </w:tc>
        <w:tc>
          <w:tcPr>
            <w:tcW w:w="7831" w:type="dxa"/>
            <w:gridSpan w:val="2"/>
          </w:tcPr>
          <w:p w14:paraId="6C931B3F" w14:textId="203A77AE" w:rsidR="00FC03EE" w:rsidRPr="00AA1F8D" w:rsidRDefault="00DD03E0" w:rsidP="00FC03EE">
            <w:pPr>
              <w:pStyle w:val="Source"/>
              <w:tabs>
                <w:tab w:val="clear" w:pos="794"/>
                <w:tab w:val="clear" w:pos="1191"/>
                <w:tab w:val="clear" w:pos="1588"/>
                <w:tab w:val="clear" w:pos="1985"/>
              </w:tabs>
              <w:spacing w:after="120" w:afterAutospacing="0"/>
              <w:rPr>
                <w:b w:val="0"/>
                <w:bCs/>
                <w:i/>
                <w:iCs/>
                <w:lang w:val="fr-CH"/>
              </w:rPr>
            </w:pPr>
            <w:bookmarkStart w:id="9" w:name="Keywords"/>
            <w:bookmarkEnd w:id="9"/>
            <w:r>
              <w:rPr>
                <w:b w:val="0"/>
                <w:bCs/>
                <w:i/>
                <w:iCs/>
                <w:lang w:val="fr-CH"/>
              </w:rPr>
              <w:t>COVID-19</w:t>
            </w:r>
            <w:r w:rsidR="00FC03EE">
              <w:rPr>
                <w:b w:val="0"/>
                <w:bCs/>
                <w:i/>
                <w:iCs/>
                <w:lang w:val="fr-CH"/>
              </w:rPr>
              <w:t xml:space="preserve">, </w:t>
            </w:r>
            <w:r>
              <w:rPr>
                <w:b w:val="0"/>
                <w:bCs/>
                <w:i/>
                <w:iCs/>
                <w:lang w:val="fr-CH"/>
              </w:rPr>
              <w:t>Community</w:t>
            </w:r>
            <w:r w:rsidR="00FC03EE">
              <w:rPr>
                <w:b w:val="0"/>
                <w:bCs/>
                <w:i/>
                <w:iCs/>
                <w:lang w:val="fr-CH"/>
              </w:rPr>
              <w:t xml:space="preserve"> networks</w:t>
            </w:r>
          </w:p>
        </w:tc>
      </w:tr>
    </w:tbl>
    <w:tbl>
      <w:tblPr>
        <w:tblStyle w:val="TableGrid"/>
        <w:tblW w:w="9918" w:type="dxa"/>
        <w:tblLook w:val="04A0" w:firstRow="1" w:lastRow="0" w:firstColumn="1" w:lastColumn="0" w:noHBand="0" w:noVBand="1"/>
        <w:tblCaption w:val="Informations générales sur le document (Commission d'études, réunion, numéro de document, Question, origine, titre)"/>
        <w:tblDescription w:val="Informations générales sur le document (Commission d'études, réunion, numéro de document, Question, origine, titre)"/>
      </w:tblPr>
      <w:tblGrid>
        <w:gridCol w:w="9918"/>
      </w:tblGrid>
      <w:tr w:rsidR="00512583" w:rsidRPr="00F178D9" w14:paraId="304B7B78" w14:textId="77777777" w:rsidTr="00122AFC">
        <w:tc>
          <w:tcPr>
            <w:tcW w:w="9918" w:type="dxa"/>
          </w:tcPr>
          <w:p w14:paraId="2954ABB1" w14:textId="77EF8AAE" w:rsidR="00512583" w:rsidRPr="008D41FF" w:rsidRDefault="003B7FB9" w:rsidP="000A2532">
            <w:pPr>
              <w:spacing w:after="120"/>
            </w:pPr>
            <w:r w:rsidRPr="005E777F">
              <w:rPr>
                <w:rFonts w:cs="Times New Roman Bold"/>
                <w:b/>
                <w:szCs w:val="18"/>
              </w:rPr>
              <w:t>Abstract</w:t>
            </w:r>
            <w:r w:rsidR="004B6398" w:rsidRPr="00F178D9">
              <w:rPr>
                <w:b/>
                <w:bCs/>
              </w:rPr>
              <w:t>:</w:t>
            </w:r>
            <w:bookmarkStart w:id="10" w:name="Abstract"/>
            <w:bookmarkEnd w:id="10"/>
            <w:r w:rsidR="000A2532">
              <w:rPr>
                <w:b/>
                <w:bCs/>
              </w:rPr>
              <w:t xml:space="preserve"> </w:t>
            </w:r>
            <w:r w:rsidR="000A2532">
              <w:t xml:space="preserve"> </w:t>
            </w:r>
            <w:r w:rsidR="000A2532" w:rsidRPr="004B1671">
              <w:rPr>
                <w:szCs w:val="24"/>
              </w:rPr>
              <w:t>Efforts to maintain telecommunications services in the wake of the massive increases in demand resulting from COVID-19 have received a significant amount of media coverage in recent months. Other important efforts to address affordable access in the wake of the pandemic have received less attention. In particular, the important role that community networks around the world have played in supporting their constituencies in a variety of ways aimed at mitigating the impact of the pandemic has largely escaped media attention. Beyond the provision of affordable access, many of these initiatives have expanded to production and sharing of essential health information in local languages, addressing misinformation, and supporting digital financial services. This submission assembles and analyses the efforts of community networks submitted to the REG4COVID platform</w:t>
            </w:r>
            <w:r w:rsidR="000A2532" w:rsidRPr="004B1671">
              <w:rPr>
                <w:szCs w:val="24"/>
              </w:rPr>
              <w:t xml:space="preserve"> </w:t>
            </w:r>
            <w:r w:rsidR="000A2532" w:rsidRPr="004B1671">
              <w:rPr>
                <w:rStyle w:val="FootnoteReference"/>
                <w:sz w:val="24"/>
                <w:szCs w:val="24"/>
              </w:rPr>
              <w:footnoteReference w:id="1"/>
            </w:r>
            <w:r w:rsidR="000A2532" w:rsidRPr="004B1671">
              <w:rPr>
                <w:szCs w:val="24"/>
              </w:rPr>
              <w:t>in the past few months by APC’s partners.</w:t>
            </w:r>
          </w:p>
        </w:tc>
      </w:tr>
      <w:tr w:rsidR="00122AFC" w:rsidRPr="00122AFC" w14:paraId="7FD55E14" w14:textId="77777777" w:rsidTr="00122AFC">
        <w:tc>
          <w:tcPr>
            <w:tcW w:w="9918" w:type="dxa"/>
          </w:tcPr>
          <w:p w14:paraId="725AAF7F" w14:textId="77777777" w:rsidR="00122AFC" w:rsidRPr="00122AFC" w:rsidRDefault="003B7FB9" w:rsidP="00FC03EE">
            <w:pPr>
              <w:overflowPunct/>
              <w:autoSpaceDE/>
              <w:autoSpaceDN/>
              <w:adjustRightInd/>
              <w:spacing w:after="120"/>
              <w:textAlignment w:val="auto"/>
              <w:rPr>
                <w:rFonts w:cs="Times New Roman Bold"/>
                <w:b/>
                <w:szCs w:val="18"/>
              </w:rPr>
            </w:pPr>
            <w:r w:rsidRPr="00484B88">
              <w:rPr>
                <w:rFonts w:cs="Times New Roman Bold"/>
                <w:b/>
                <w:szCs w:val="18"/>
              </w:rPr>
              <w:t>Lessons learned and suggested best-practices (if appropriate)</w:t>
            </w:r>
            <w:r w:rsidR="00122AFC" w:rsidRPr="00122AFC">
              <w:rPr>
                <w:rFonts w:cs="Times New Roman Bold"/>
                <w:b/>
                <w:szCs w:val="18"/>
              </w:rPr>
              <w:t>:</w:t>
            </w:r>
          </w:p>
          <w:p w14:paraId="252DA16F" w14:textId="7A0DCE15" w:rsidR="00FC03EE" w:rsidRDefault="009E08A0" w:rsidP="00FC03EE">
            <w:pPr>
              <w:pStyle w:val="ListParagraph"/>
              <w:numPr>
                <w:ilvl w:val="0"/>
                <w:numId w:val="2"/>
              </w:numPr>
              <w:overflowPunct/>
              <w:autoSpaceDE/>
              <w:autoSpaceDN/>
              <w:adjustRightInd/>
              <w:spacing w:before="40" w:after="40"/>
              <w:ind w:left="357" w:hanging="357"/>
              <w:contextualSpacing w:val="0"/>
              <w:textAlignment w:val="auto"/>
              <w:rPr>
                <w:rFonts w:cs="Times New Roman Bold"/>
                <w:szCs w:val="18"/>
              </w:rPr>
            </w:pPr>
            <w:bookmarkStart w:id="11" w:name="Lessons"/>
            <w:bookmarkEnd w:id="11"/>
            <w:r w:rsidRPr="00FC03EE">
              <w:rPr>
                <w:rFonts w:cs="Times New Roman Bold"/>
                <w:szCs w:val="18"/>
              </w:rPr>
              <w:t>Community networks have made significant efforts to mitigate the effect of the pandemic in the communities they serve.</w:t>
            </w:r>
          </w:p>
          <w:p w14:paraId="2E97EA16" w14:textId="77777777" w:rsidR="00FC03EE" w:rsidRDefault="009E08A0" w:rsidP="00FC03EE">
            <w:pPr>
              <w:pStyle w:val="ListParagraph"/>
              <w:numPr>
                <w:ilvl w:val="0"/>
                <w:numId w:val="2"/>
              </w:numPr>
              <w:overflowPunct/>
              <w:autoSpaceDE/>
              <w:autoSpaceDN/>
              <w:adjustRightInd/>
              <w:spacing w:before="40" w:after="40"/>
              <w:ind w:left="357" w:hanging="357"/>
              <w:contextualSpacing w:val="0"/>
              <w:textAlignment w:val="auto"/>
              <w:rPr>
                <w:rFonts w:cs="Times New Roman Bold"/>
                <w:szCs w:val="18"/>
              </w:rPr>
            </w:pPr>
            <w:r w:rsidRPr="00FC03EE">
              <w:rPr>
                <w:rFonts w:cs="Times New Roman Bold"/>
                <w:szCs w:val="18"/>
              </w:rPr>
              <w:t>Their contributions have extended beyond the provision of affordable telecommunications infrastructure and now include a variety of content-related digital services including production and sharing of local information, use of multimedia capacity building tools and digital services to address financial exclusion.</w:t>
            </w:r>
            <w:r w:rsidR="00FC03EE">
              <w:rPr>
                <w:rFonts w:cs="Times New Roman Bold"/>
                <w:szCs w:val="18"/>
              </w:rPr>
              <w:t xml:space="preserve"> </w:t>
            </w:r>
          </w:p>
          <w:p w14:paraId="35843DCC" w14:textId="77777777" w:rsidR="00FC03EE" w:rsidRDefault="009E08A0" w:rsidP="00FC03EE">
            <w:pPr>
              <w:pStyle w:val="ListParagraph"/>
              <w:numPr>
                <w:ilvl w:val="0"/>
                <w:numId w:val="2"/>
              </w:numPr>
              <w:overflowPunct/>
              <w:autoSpaceDE/>
              <w:autoSpaceDN/>
              <w:adjustRightInd/>
              <w:spacing w:before="40" w:after="40"/>
              <w:ind w:left="357" w:hanging="357"/>
              <w:contextualSpacing w:val="0"/>
              <w:textAlignment w:val="auto"/>
              <w:rPr>
                <w:rFonts w:cs="Times New Roman Bold"/>
                <w:szCs w:val="18"/>
              </w:rPr>
            </w:pPr>
            <w:r w:rsidRPr="00FC03EE">
              <w:rPr>
                <w:rFonts w:cs="Times New Roman Bold"/>
                <w:szCs w:val="18"/>
              </w:rPr>
              <w:lastRenderedPageBreak/>
              <w:t>Community networks continue to face regulatory barriers which severely limit their effectiveness in most developing countries.</w:t>
            </w:r>
            <w:r w:rsidR="00FC03EE">
              <w:rPr>
                <w:rFonts w:cs="Times New Roman Bold"/>
                <w:szCs w:val="18"/>
              </w:rPr>
              <w:t xml:space="preserve"> </w:t>
            </w:r>
          </w:p>
          <w:p w14:paraId="1C0B7D5F" w14:textId="2D43830B" w:rsidR="00122AFC" w:rsidRPr="00FC03EE" w:rsidRDefault="009E08A0" w:rsidP="00FC03EE">
            <w:pPr>
              <w:pStyle w:val="ListParagraph"/>
              <w:numPr>
                <w:ilvl w:val="0"/>
                <w:numId w:val="2"/>
              </w:numPr>
              <w:overflowPunct/>
              <w:autoSpaceDE/>
              <w:autoSpaceDN/>
              <w:adjustRightInd/>
              <w:spacing w:before="40" w:after="120"/>
              <w:ind w:left="357" w:hanging="357"/>
              <w:contextualSpacing w:val="0"/>
              <w:textAlignment w:val="auto"/>
              <w:rPr>
                <w:rFonts w:cs="Times New Roman Bold"/>
                <w:szCs w:val="18"/>
              </w:rPr>
            </w:pPr>
            <w:r w:rsidRPr="00FC03EE">
              <w:rPr>
                <w:rFonts w:cs="Times New Roman Bold"/>
                <w:szCs w:val="18"/>
              </w:rPr>
              <w:t>Ensuring a more conducive national policy and regulatory environment for community networks will substantially increase their effectiveness and ability to scale and replicate.</w:t>
            </w:r>
          </w:p>
        </w:tc>
      </w:tr>
    </w:tbl>
    <w:p w14:paraId="362F2F9D" w14:textId="77777777" w:rsidR="000A2532" w:rsidRPr="000156B7" w:rsidRDefault="000A2532" w:rsidP="000A2532">
      <w:pPr>
        <w:tabs>
          <w:tab w:val="clear" w:pos="794"/>
          <w:tab w:val="clear" w:pos="1191"/>
          <w:tab w:val="clear" w:pos="1588"/>
          <w:tab w:val="clear" w:pos="1985"/>
        </w:tabs>
        <w:overflowPunct/>
        <w:autoSpaceDE/>
        <w:autoSpaceDN/>
        <w:adjustRightInd/>
        <w:textAlignment w:val="auto"/>
        <w:rPr>
          <w:b/>
          <w:bCs/>
          <w:sz w:val="28"/>
          <w:szCs w:val="22"/>
        </w:rPr>
      </w:pPr>
      <w:bookmarkStart w:id="12" w:name="Proposal"/>
      <w:bookmarkEnd w:id="12"/>
      <w:r w:rsidRPr="000156B7">
        <w:rPr>
          <w:b/>
          <w:bCs/>
          <w:sz w:val="28"/>
          <w:szCs w:val="22"/>
        </w:rPr>
        <w:lastRenderedPageBreak/>
        <w:t>Introduction</w:t>
      </w:r>
    </w:p>
    <w:p w14:paraId="4B426C9B" w14:textId="77777777" w:rsidR="000A2532" w:rsidRDefault="000A2532" w:rsidP="000A2532">
      <w:pPr>
        <w:tabs>
          <w:tab w:val="clear" w:pos="794"/>
          <w:tab w:val="clear" w:pos="1191"/>
          <w:tab w:val="clear" w:pos="1588"/>
          <w:tab w:val="clear" w:pos="1985"/>
        </w:tabs>
        <w:overflowPunct/>
        <w:autoSpaceDE/>
        <w:autoSpaceDN/>
        <w:adjustRightInd/>
        <w:textAlignment w:val="auto"/>
      </w:pPr>
      <w:r>
        <w:t>The essential role that telecommunication services and internet access plays in coping with the COVID-19 pandemic, and indeed in modern life in general, has become abundantly clear to all. Yet half the world remains unconnected to the internet. Recent actions by regulators around the world to help telecom operators deal with the additional strain on their networks have helped to increase available capacity for existing networks, particularly in urban areas. However, rural areas with sparse populations, and often lower income levels, have yet to see significant change in the availability of access.</w:t>
      </w:r>
    </w:p>
    <w:p w14:paraId="4E4D5697" w14:textId="5B014A75" w:rsidR="000A2532" w:rsidRDefault="000A2532" w:rsidP="000A2532">
      <w:pPr>
        <w:tabs>
          <w:tab w:val="clear" w:pos="794"/>
          <w:tab w:val="clear" w:pos="1191"/>
          <w:tab w:val="clear" w:pos="1588"/>
          <w:tab w:val="clear" w:pos="1985"/>
        </w:tabs>
        <w:overflowPunct/>
        <w:autoSpaceDE/>
        <w:autoSpaceDN/>
        <w:adjustRightInd/>
        <w:textAlignment w:val="auto"/>
      </w:pPr>
      <w:r>
        <w:t>Community networks are based on telecommunications infrastructure that is collectively owned and managed by members of the community for social purposes. Their general complementarity to traditional commercial access models, together with their socio</w:t>
      </w:r>
      <w:r w:rsidR="00CF19A9">
        <w:t>-</w:t>
      </w:r>
      <w:r>
        <w:t xml:space="preserve"> economic benefits in rural areas, were covered in APC’s previous contribution to this study group</w:t>
      </w:r>
      <w:r w:rsidR="00CF19A9">
        <w:rPr>
          <w:rStyle w:val="FootnoteReference"/>
        </w:rPr>
        <w:footnoteReference w:id="2"/>
      </w:r>
      <w:r>
        <w:t xml:space="preserve">. This submission focusses on their role in the </w:t>
      </w:r>
      <w:r w:rsidR="004B1671">
        <w:t>COVID-</w:t>
      </w:r>
      <w:r>
        <w:t>19 pandemic.</w:t>
      </w:r>
    </w:p>
    <w:p w14:paraId="1C667A56" w14:textId="07DAF0D0" w:rsidR="000A2532" w:rsidRDefault="000A2532" w:rsidP="000A2532">
      <w:pPr>
        <w:tabs>
          <w:tab w:val="clear" w:pos="794"/>
          <w:tab w:val="clear" w:pos="1191"/>
          <w:tab w:val="clear" w:pos="1588"/>
          <w:tab w:val="clear" w:pos="1985"/>
        </w:tabs>
        <w:overflowPunct/>
        <w:autoSpaceDE/>
        <w:autoSpaceDN/>
        <w:adjustRightInd/>
        <w:textAlignment w:val="auto"/>
      </w:pPr>
      <w:r>
        <w:t>While most other telecommunication operators have focused mainly in maintaining their services during the pandemic, community networks, have gone an extra mile providing support to the communities they serve in a variety of ways aiming at addressing the additional challenges the pandemic has created. Note that most of these responses were added to the REG4COVID</w:t>
      </w:r>
      <w:r w:rsidR="000156B7">
        <w:rPr>
          <w:rStyle w:val="FootnoteReference"/>
        </w:rPr>
        <w:footnoteReference w:id="3"/>
      </w:r>
      <w:r w:rsidR="000156B7">
        <w:t xml:space="preserve"> </w:t>
      </w:r>
      <w:r>
        <w:t>platform created by the International Telecommunication Union (ITU) for regulators and other interested parties to share and discuss their own initiatives to deal with the outbreak. Some of these initiatives include the creation of additional affordable physical telecommunications infrastructure, producing health information in local languages, efforts to fight misinformation, and digital services that provide relevant content to local communities, such as financial services and community notice boards.</w:t>
      </w:r>
    </w:p>
    <w:p w14:paraId="5D024C4C" w14:textId="77777777" w:rsidR="00CF19A9" w:rsidRPr="000156B7" w:rsidRDefault="00CF19A9" w:rsidP="00CF19A9">
      <w:pPr>
        <w:pStyle w:val="Heading2"/>
        <w:jc w:val="both"/>
        <w:rPr>
          <w:rFonts w:cstheme="minorHAnsi"/>
          <w:sz w:val="28"/>
          <w:szCs w:val="28"/>
        </w:rPr>
      </w:pPr>
      <w:proofErr w:type="spellStart"/>
      <w:r w:rsidRPr="000156B7">
        <w:rPr>
          <w:rStyle w:val="TOC3"/>
          <w:rFonts w:cstheme="minorHAnsi"/>
          <w:sz w:val="28"/>
          <w:szCs w:val="28"/>
        </w:rPr>
        <w:t>AlterMundi</w:t>
      </w:r>
      <w:proofErr w:type="spellEnd"/>
      <w:r w:rsidRPr="000156B7">
        <w:rPr>
          <w:rStyle w:val="TOC3"/>
          <w:rFonts w:cstheme="minorHAnsi"/>
          <w:sz w:val="28"/>
          <w:szCs w:val="28"/>
        </w:rPr>
        <w:t>, Argentina</w:t>
      </w:r>
    </w:p>
    <w:p w14:paraId="7B7BE492" w14:textId="63E25FF5" w:rsidR="00CF19A9" w:rsidRPr="00CF19A9" w:rsidRDefault="00CF19A9" w:rsidP="00CF19A9">
      <w:pPr>
        <w:pStyle w:val="LO-Normal"/>
        <w:jc w:val="both"/>
        <w:rPr>
          <w:rFonts w:asciiTheme="minorHAnsi" w:hAnsiTheme="minorHAnsi" w:cstheme="minorHAnsi"/>
        </w:rPr>
      </w:pPr>
      <w:r w:rsidRPr="00CF19A9">
        <w:rPr>
          <w:rFonts w:asciiTheme="minorHAnsi" w:hAnsiTheme="minorHAnsi" w:cstheme="minorHAnsi"/>
          <w:lang w:val="en-GB"/>
        </w:rPr>
        <w:t xml:space="preserve">In response to the pandemic, people’s lives have largely moved online. This puts in stark contrast the lives of those who have quality internet access and those who do not. </w:t>
      </w:r>
      <w:proofErr w:type="spellStart"/>
      <w:r w:rsidRPr="00CF19A9">
        <w:rPr>
          <w:rFonts w:asciiTheme="minorHAnsi" w:hAnsiTheme="minorHAnsi" w:cstheme="minorHAnsi"/>
          <w:lang w:val="en-GB"/>
        </w:rPr>
        <w:t>AlterMundi’s</w:t>
      </w:r>
      <w:proofErr w:type="spellEnd"/>
      <w:r w:rsidRPr="00CF19A9">
        <w:rPr>
          <w:rFonts w:asciiTheme="minorHAnsi" w:hAnsiTheme="minorHAnsi" w:cstheme="minorHAnsi"/>
          <w:lang w:val="en-GB"/>
        </w:rPr>
        <w:t xml:space="preserve"> priority in this time is providing connectivity to communities which have been ignored by private service providers because rural communities are not sufficiently profitable to justify the investment in telecommunications infrastructure. Given the implementation of social distancing measures, </w:t>
      </w:r>
      <w:proofErr w:type="spellStart"/>
      <w:r w:rsidRPr="00CF19A9">
        <w:rPr>
          <w:rFonts w:asciiTheme="minorHAnsi" w:hAnsiTheme="minorHAnsi" w:cstheme="minorHAnsi"/>
          <w:lang w:val="en-GB"/>
        </w:rPr>
        <w:t>AlterMundi</w:t>
      </w:r>
      <w:proofErr w:type="spellEnd"/>
      <w:r w:rsidRPr="00CF19A9">
        <w:rPr>
          <w:rFonts w:asciiTheme="minorHAnsi" w:hAnsiTheme="minorHAnsi" w:cstheme="minorHAnsi"/>
          <w:lang w:val="en-GB"/>
        </w:rPr>
        <w:t xml:space="preserve"> has developed </w:t>
      </w:r>
      <w:r w:rsidRPr="00CF19A9">
        <w:t>new</w:t>
      </w:r>
      <w:r w:rsidRPr="00CF19A9">
        <w:t xml:space="preserve"> </w:t>
      </w:r>
      <w:r w:rsidRPr="00CF19A9">
        <w:t>protocol guidelines</w:t>
      </w:r>
      <w:r w:rsidRPr="00CF19A9">
        <w:rPr>
          <w:rFonts w:asciiTheme="minorHAnsi" w:hAnsiTheme="minorHAnsi" w:cstheme="minorHAnsi"/>
          <w:lang w:val="en-GB"/>
        </w:rPr>
        <w:t xml:space="preserve"> for installations that guarantee the recommendations of social distancing and prevention of COVID-19</w:t>
      </w:r>
      <w:r w:rsidR="000156B7">
        <w:rPr>
          <w:rStyle w:val="FootnoteReference"/>
          <w:rFonts w:cstheme="minorHAnsi"/>
          <w:lang w:val="en-GB"/>
        </w:rPr>
        <w:footnoteReference w:id="4"/>
      </w:r>
      <w:r w:rsidRPr="00CF19A9">
        <w:rPr>
          <w:rFonts w:asciiTheme="minorHAnsi" w:hAnsiTheme="minorHAnsi" w:cstheme="minorHAnsi"/>
          <w:lang w:val="en-GB"/>
        </w:rPr>
        <w:t xml:space="preserve">. These guidelines are currently being tested in 12 communities in the country.  </w:t>
      </w:r>
    </w:p>
    <w:p w14:paraId="5AFCBBE9" w14:textId="3EE9B7F1" w:rsidR="00CF19A9" w:rsidRDefault="00CF19A9" w:rsidP="00CF19A9">
      <w:pPr>
        <w:pStyle w:val="LO-Normal"/>
        <w:jc w:val="both"/>
        <w:rPr>
          <w:rFonts w:asciiTheme="minorHAnsi" w:hAnsiTheme="minorHAnsi" w:cstheme="minorHAnsi"/>
          <w:b/>
          <w:bCs/>
          <w:lang w:val="en-GB"/>
        </w:rPr>
      </w:pPr>
    </w:p>
    <w:p w14:paraId="274265E1" w14:textId="394B2D99" w:rsidR="000156B7" w:rsidRPr="000156B7" w:rsidRDefault="000156B7" w:rsidP="000156B7">
      <w:pPr>
        <w:tabs>
          <w:tab w:val="clear" w:pos="794"/>
          <w:tab w:val="clear" w:pos="1191"/>
          <w:tab w:val="clear" w:pos="1588"/>
          <w:tab w:val="clear" w:pos="1985"/>
          <w:tab w:val="left" w:pos="930"/>
        </w:tabs>
        <w:rPr>
          <w:lang w:val="en-GB"/>
        </w:rPr>
      </w:pPr>
      <w:r>
        <w:rPr>
          <w:lang w:val="en-GB"/>
        </w:rPr>
        <w:tab/>
      </w:r>
    </w:p>
    <w:p w14:paraId="1DCA70D3" w14:textId="77777777" w:rsidR="00CF19A9" w:rsidRPr="000156B7" w:rsidRDefault="00CF19A9" w:rsidP="00CF19A9">
      <w:pPr>
        <w:pStyle w:val="Heading2"/>
        <w:jc w:val="both"/>
        <w:rPr>
          <w:rFonts w:cstheme="minorHAnsi"/>
          <w:sz w:val="28"/>
          <w:szCs w:val="28"/>
        </w:rPr>
      </w:pPr>
      <w:proofErr w:type="spellStart"/>
      <w:r w:rsidRPr="000156B7">
        <w:rPr>
          <w:rStyle w:val="TOC3"/>
          <w:rFonts w:cstheme="minorHAnsi"/>
          <w:sz w:val="28"/>
          <w:szCs w:val="28"/>
          <w:lang w:val="en-GB"/>
        </w:rPr>
        <w:lastRenderedPageBreak/>
        <w:t>CooLab</w:t>
      </w:r>
      <w:proofErr w:type="spellEnd"/>
      <w:r w:rsidRPr="000156B7">
        <w:rPr>
          <w:rStyle w:val="TOC3"/>
          <w:rFonts w:cstheme="minorHAnsi"/>
          <w:sz w:val="28"/>
          <w:szCs w:val="28"/>
          <w:lang w:val="en-GB"/>
        </w:rPr>
        <w:t>, Brazil</w:t>
      </w:r>
    </w:p>
    <w:p w14:paraId="7A3B1827" w14:textId="3EAA7CA0" w:rsidR="00CF19A9" w:rsidRPr="00CF19A9" w:rsidRDefault="00CF19A9" w:rsidP="00CF19A9">
      <w:pPr>
        <w:pStyle w:val="LO-Normal"/>
        <w:jc w:val="both"/>
        <w:rPr>
          <w:rFonts w:asciiTheme="minorHAnsi" w:hAnsiTheme="minorHAnsi" w:cstheme="minorHAnsi"/>
          <w:lang w:val="en-GB"/>
        </w:rPr>
      </w:pPr>
      <w:proofErr w:type="spellStart"/>
      <w:r w:rsidRPr="00CF19A9">
        <w:rPr>
          <w:rFonts w:asciiTheme="minorHAnsi" w:hAnsiTheme="minorHAnsi" w:cstheme="minorHAnsi"/>
          <w:lang w:val="en-GB"/>
        </w:rPr>
        <w:t>CooLab</w:t>
      </w:r>
      <w:proofErr w:type="spellEnd"/>
      <w:r w:rsidRPr="00CF19A9">
        <w:rPr>
          <w:rFonts w:asciiTheme="minorHAnsi" w:hAnsiTheme="minorHAnsi" w:cstheme="minorHAnsi"/>
          <w:lang w:val="en-GB"/>
        </w:rPr>
        <w:t xml:space="preserve"> was founded to develop and expand the capacity and awareness of community-based, self-managed networks. Their belief is that this model creates opportunities for those who cannot access market-based connectivity options, as well as those who wish to control their own data and technological platforms. As the pandemic has altered domestic and economic habits, as well as the way in which data and information are disseminated, </w:t>
      </w:r>
      <w:proofErr w:type="spellStart"/>
      <w:r w:rsidRPr="00CF19A9">
        <w:rPr>
          <w:rFonts w:asciiTheme="minorHAnsi" w:hAnsiTheme="minorHAnsi" w:cstheme="minorHAnsi"/>
          <w:lang w:val="en-GB"/>
        </w:rPr>
        <w:t>CooLab</w:t>
      </w:r>
      <w:proofErr w:type="spellEnd"/>
      <w:r w:rsidRPr="00CF19A9">
        <w:rPr>
          <w:rFonts w:asciiTheme="minorHAnsi" w:hAnsiTheme="minorHAnsi" w:cstheme="minorHAnsi"/>
          <w:lang w:val="en-GB"/>
        </w:rPr>
        <w:t xml:space="preserve"> believes that community networks provide a valuable alternative. During this time, they are working to raise awareness of community networks in Brazil and providing support for partners and other civil society organisations who are implementing community networks. The pandemic has clarified the extent to which connectivity is crucial to accessing basic services and information. Since so many Brazilians rely on mobile data, a problem that arose </w:t>
      </w:r>
      <w:proofErr w:type="gramStart"/>
      <w:r w:rsidRPr="00CF19A9">
        <w:rPr>
          <w:rFonts w:asciiTheme="minorHAnsi" w:hAnsiTheme="minorHAnsi" w:cstheme="minorHAnsi"/>
          <w:lang w:val="en-GB"/>
        </w:rPr>
        <w:t>early on in the</w:t>
      </w:r>
      <w:proofErr w:type="gramEnd"/>
      <w:r w:rsidRPr="00CF19A9">
        <w:rPr>
          <w:rFonts w:asciiTheme="minorHAnsi" w:hAnsiTheme="minorHAnsi" w:cstheme="minorHAnsi"/>
          <w:lang w:val="en-GB"/>
        </w:rPr>
        <w:t xml:space="preserve"> pandemic was the data caps used by large telecommunications providers. In response, </w:t>
      </w:r>
      <w:proofErr w:type="spellStart"/>
      <w:r w:rsidRPr="00CF19A9">
        <w:rPr>
          <w:rFonts w:asciiTheme="minorHAnsi" w:hAnsiTheme="minorHAnsi" w:cstheme="minorHAnsi"/>
          <w:lang w:val="en-GB"/>
        </w:rPr>
        <w:t>CooLab</w:t>
      </w:r>
      <w:proofErr w:type="spellEnd"/>
      <w:r w:rsidRPr="00CF19A9">
        <w:rPr>
          <w:rFonts w:asciiTheme="minorHAnsi" w:hAnsiTheme="minorHAnsi" w:cstheme="minorHAnsi"/>
          <w:lang w:val="en-GB"/>
        </w:rPr>
        <w:t xml:space="preserve"> launched a campaign called #liberaowifi (translating to “free your </w:t>
      </w:r>
      <w:r w:rsidR="004B1671">
        <w:rPr>
          <w:rFonts w:asciiTheme="minorHAnsi" w:hAnsiTheme="minorHAnsi" w:cstheme="minorHAnsi"/>
          <w:lang w:val="en-GB"/>
        </w:rPr>
        <w:t>WIFI</w:t>
      </w:r>
      <w:r w:rsidRPr="00CF19A9">
        <w:rPr>
          <w:rFonts w:asciiTheme="minorHAnsi" w:hAnsiTheme="minorHAnsi" w:cstheme="minorHAnsi"/>
          <w:lang w:val="en-GB"/>
        </w:rPr>
        <w:t>”), which allows those with fibre data, ADSL, or extra mobile Wi-Fi to share their data with the community. This was implemented through channels on WhatsApp and Telegram. Another aspect of this programme was the distribution of ‘share box kits’, which consist of mobile devices that use data to create open temporary hotspots in unconnected communities.</w:t>
      </w:r>
    </w:p>
    <w:p w14:paraId="481A8A13" w14:textId="77777777" w:rsidR="00CF19A9" w:rsidRPr="00CF19A9" w:rsidRDefault="00CF19A9" w:rsidP="00CF19A9">
      <w:pPr>
        <w:pStyle w:val="LO-Normal"/>
        <w:jc w:val="both"/>
        <w:rPr>
          <w:rFonts w:asciiTheme="minorHAnsi" w:hAnsiTheme="minorHAnsi" w:cstheme="minorHAnsi"/>
          <w:lang w:val="en-GB"/>
        </w:rPr>
      </w:pPr>
    </w:p>
    <w:p w14:paraId="3D2FE91F" w14:textId="77777777" w:rsidR="00CF19A9" w:rsidRPr="00CF19A9" w:rsidRDefault="00CF19A9" w:rsidP="00CF19A9">
      <w:pPr>
        <w:pStyle w:val="LO-Normal"/>
        <w:jc w:val="both"/>
        <w:rPr>
          <w:rFonts w:asciiTheme="minorHAnsi" w:hAnsiTheme="minorHAnsi" w:cstheme="minorHAnsi"/>
          <w:lang w:val="en-GB"/>
        </w:rPr>
      </w:pPr>
      <w:r w:rsidRPr="00CF19A9">
        <w:rPr>
          <w:rFonts w:asciiTheme="minorHAnsi" w:hAnsiTheme="minorHAnsi" w:cstheme="minorHAnsi"/>
          <w:lang w:val="en-GB"/>
        </w:rPr>
        <w:t xml:space="preserve">Another aspect of </w:t>
      </w:r>
      <w:proofErr w:type="spellStart"/>
      <w:r w:rsidRPr="00CF19A9">
        <w:rPr>
          <w:rFonts w:asciiTheme="minorHAnsi" w:hAnsiTheme="minorHAnsi" w:cstheme="minorHAnsi"/>
          <w:lang w:val="en-GB"/>
        </w:rPr>
        <w:t>CooLab’s</w:t>
      </w:r>
      <w:proofErr w:type="spellEnd"/>
      <w:r w:rsidRPr="00CF19A9">
        <w:rPr>
          <w:rFonts w:asciiTheme="minorHAnsi" w:hAnsiTheme="minorHAnsi" w:cstheme="minorHAnsi"/>
          <w:lang w:val="en-GB"/>
        </w:rPr>
        <w:t xml:space="preserve"> work involves the provision of capacity for students to continue their education from home. Schools had recently banned smartphone usage in class; however, the pandemic has forced students online. Many of these digital platforms were not designed to be used over low bandwidth connections and do not allow students to work in a manner that functions with their living situations. As such, </w:t>
      </w:r>
      <w:proofErr w:type="spellStart"/>
      <w:r w:rsidRPr="00CF19A9">
        <w:rPr>
          <w:rFonts w:asciiTheme="minorHAnsi" w:hAnsiTheme="minorHAnsi" w:cstheme="minorHAnsi"/>
          <w:lang w:val="en-GB"/>
        </w:rPr>
        <w:t>CooLab</w:t>
      </w:r>
      <w:proofErr w:type="spellEnd"/>
      <w:r w:rsidRPr="00CF19A9">
        <w:rPr>
          <w:rFonts w:asciiTheme="minorHAnsi" w:hAnsiTheme="minorHAnsi" w:cstheme="minorHAnsi"/>
          <w:lang w:val="en-GB"/>
        </w:rPr>
        <w:t>, along with local teachers and students, have begun work on free and open source educational frameworks which work within community networks that can be adapted for schools with fewer connectivity resources.</w:t>
      </w:r>
    </w:p>
    <w:p w14:paraId="720F2B84" w14:textId="77777777" w:rsidR="00CF19A9" w:rsidRPr="00CF19A9" w:rsidRDefault="00CF19A9" w:rsidP="00CF19A9">
      <w:pPr>
        <w:pStyle w:val="LO-Normal"/>
        <w:jc w:val="both"/>
        <w:rPr>
          <w:rFonts w:asciiTheme="minorHAnsi" w:hAnsiTheme="minorHAnsi" w:cstheme="minorHAnsi"/>
          <w:i/>
          <w:iCs/>
          <w:lang w:val="en-GB"/>
        </w:rPr>
      </w:pPr>
    </w:p>
    <w:p w14:paraId="4B055E50" w14:textId="77777777" w:rsidR="00CF19A9" w:rsidRPr="000156B7" w:rsidRDefault="00CF19A9" w:rsidP="00CF19A9">
      <w:pPr>
        <w:pStyle w:val="Heading2"/>
        <w:jc w:val="both"/>
        <w:rPr>
          <w:rFonts w:cstheme="minorHAnsi"/>
          <w:sz w:val="28"/>
          <w:szCs w:val="28"/>
        </w:rPr>
      </w:pPr>
      <w:r w:rsidRPr="000156B7">
        <w:rPr>
          <w:rStyle w:val="TOC3"/>
          <w:rFonts w:cstheme="minorHAnsi"/>
          <w:sz w:val="28"/>
          <w:szCs w:val="28"/>
          <w:lang w:val="en-GB"/>
        </w:rPr>
        <w:t xml:space="preserve">Instituto </w:t>
      </w:r>
      <w:hyperlink r:id="rId9" w:tgtFrame="_top">
        <w:proofErr w:type="spellStart"/>
        <w:r w:rsidRPr="000156B7">
          <w:rPr>
            <w:rStyle w:val="TOC3"/>
            <w:rFonts w:cstheme="minorHAnsi"/>
            <w:sz w:val="28"/>
            <w:szCs w:val="28"/>
            <w:lang w:val="en-GB"/>
          </w:rPr>
          <w:t>B</w:t>
        </w:r>
      </w:hyperlink>
      <w:hyperlink r:id="rId10" w:tgtFrame="_top">
        <w:r w:rsidRPr="000156B7">
          <w:rPr>
            <w:rStyle w:val="TOC3"/>
            <w:rFonts w:cstheme="minorHAnsi"/>
            <w:sz w:val="28"/>
            <w:szCs w:val="28"/>
            <w:lang w:val="en-GB"/>
          </w:rPr>
          <w:t>em</w:t>
        </w:r>
        <w:proofErr w:type="spellEnd"/>
        <w:r w:rsidRPr="000156B7">
          <w:rPr>
            <w:rStyle w:val="TOC3"/>
            <w:rFonts w:cstheme="minorHAnsi"/>
            <w:sz w:val="28"/>
            <w:szCs w:val="28"/>
            <w:lang w:val="en-GB"/>
          </w:rPr>
          <w:t xml:space="preserve"> </w:t>
        </w:r>
      </w:hyperlink>
      <w:hyperlink r:id="rId11" w:tgtFrame="_top">
        <w:r w:rsidRPr="000156B7">
          <w:rPr>
            <w:rStyle w:val="TOC3"/>
            <w:rFonts w:cstheme="minorHAnsi"/>
            <w:sz w:val="28"/>
            <w:szCs w:val="28"/>
            <w:lang w:val="en-GB"/>
          </w:rPr>
          <w:t>E</w:t>
        </w:r>
      </w:hyperlink>
      <w:hyperlink r:id="rId12" w:tgtFrame="_top">
        <w:r w:rsidRPr="000156B7">
          <w:rPr>
            <w:rStyle w:val="TOC3"/>
            <w:rFonts w:cstheme="minorHAnsi"/>
            <w:sz w:val="28"/>
            <w:szCs w:val="28"/>
          </w:rPr>
          <w:t>star</w:t>
        </w:r>
      </w:hyperlink>
      <w:hyperlink r:id="rId13" w:tgtFrame="_top">
        <w:r w:rsidRPr="000156B7">
          <w:rPr>
            <w:rStyle w:val="TOC3"/>
            <w:rFonts w:cstheme="minorHAnsi"/>
            <w:sz w:val="28"/>
            <w:szCs w:val="28"/>
          </w:rPr>
          <w:t xml:space="preserve"> </w:t>
        </w:r>
      </w:hyperlink>
      <w:hyperlink r:id="rId14" w:tgtFrame="_top">
        <w:r w:rsidRPr="000156B7">
          <w:rPr>
            <w:rStyle w:val="TOC3"/>
            <w:rFonts w:cstheme="minorHAnsi"/>
            <w:sz w:val="28"/>
            <w:szCs w:val="28"/>
            <w:lang w:val="en-GB"/>
          </w:rPr>
          <w:t>(IBE)</w:t>
        </w:r>
      </w:hyperlink>
      <w:hyperlink r:id="rId15" w:tgtFrame="_top">
        <w:r w:rsidRPr="000156B7">
          <w:rPr>
            <w:rStyle w:val="TOC3"/>
            <w:rFonts w:cstheme="minorHAnsi"/>
            <w:sz w:val="28"/>
            <w:szCs w:val="28"/>
            <w:lang w:val="en-GB"/>
          </w:rPr>
          <w:t xml:space="preserve">, </w:t>
        </w:r>
      </w:hyperlink>
      <w:hyperlink r:id="rId16" w:tgtFrame="_top">
        <w:proofErr w:type="spellStart"/>
        <w:r w:rsidRPr="000156B7">
          <w:rPr>
            <w:rStyle w:val="TOC3"/>
            <w:rFonts w:cstheme="minorHAnsi"/>
            <w:sz w:val="28"/>
            <w:szCs w:val="28"/>
            <w:lang w:val="en-GB"/>
          </w:rPr>
          <w:t>Brasi</w:t>
        </w:r>
      </w:hyperlink>
      <w:r w:rsidRPr="000156B7">
        <w:rPr>
          <w:rStyle w:val="TOC3"/>
          <w:rFonts w:cstheme="minorHAnsi"/>
          <w:sz w:val="28"/>
          <w:szCs w:val="28"/>
          <w:lang w:val="en-GB"/>
        </w:rPr>
        <w:t>l</w:t>
      </w:r>
      <w:proofErr w:type="spellEnd"/>
    </w:p>
    <w:p w14:paraId="24A1240E" w14:textId="77777777" w:rsidR="00CF19A9" w:rsidRPr="00CF19A9" w:rsidRDefault="00CF19A9" w:rsidP="00CF19A9">
      <w:pPr>
        <w:pStyle w:val="LO-Normal"/>
        <w:jc w:val="both"/>
        <w:rPr>
          <w:rFonts w:asciiTheme="minorHAnsi" w:hAnsiTheme="minorHAnsi" w:cstheme="minorHAnsi"/>
          <w:lang w:val="en-GB"/>
        </w:rPr>
      </w:pPr>
      <w:proofErr w:type="spellStart"/>
      <w:r w:rsidRPr="00CF19A9">
        <w:rPr>
          <w:rFonts w:asciiTheme="minorHAnsi" w:hAnsiTheme="minorHAnsi" w:cstheme="minorHAnsi"/>
          <w:lang w:val="en-GB"/>
        </w:rPr>
        <w:t>IBEBrasil</w:t>
      </w:r>
      <w:proofErr w:type="spellEnd"/>
      <w:r w:rsidRPr="00CF19A9">
        <w:rPr>
          <w:rFonts w:asciiTheme="minorHAnsi" w:hAnsiTheme="minorHAnsi" w:cstheme="minorHAnsi"/>
          <w:lang w:val="en-GB"/>
        </w:rPr>
        <w:t xml:space="preserve"> focuses on the creation of community networks as a common good. Particularly during the pandemic, helping communities that have been excluded from the traditional avenues of information access to create and maintain their own networks is viewed by IBE as not only good for community health, but also good for socioeconomic development and the preservation of local culture. Given the lack of commercial interest in providing telecommunication services in rural areas, the communities have resorted to providing their own networks.</w:t>
      </w:r>
    </w:p>
    <w:p w14:paraId="54F0F158" w14:textId="77777777" w:rsidR="00CF19A9" w:rsidRPr="00CF19A9" w:rsidRDefault="00CF19A9" w:rsidP="00CF19A9">
      <w:pPr>
        <w:pStyle w:val="LO-Normal"/>
        <w:jc w:val="both"/>
        <w:rPr>
          <w:rFonts w:asciiTheme="minorHAnsi" w:hAnsiTheme="minorHAnsi" w:cstheme="minorHAnsi"/>
          <w:b/>
          <w:bCs/>
          <w:lang w:val="en-GB"/>
        </w:rPr>
      </w:pPr>
    </w:p>
    <w:p w14:paraId="3A67A904" w14:textId="77777777" w:rsidR="00CF19A9" w:rsidRPr="000156B7" w:rsidRDefault="00CF19A9" w:rsidP="00CF19A9">
      <w:pPr>
        <w:pStyle w:val="Heading2"/>
        <w:jc w:val="both"/>
        <w:rPr>
          <w:rFonts w:cstheme="minorHAnsi"/>
          <w:sz w:val="28"/>
          <w:szCs w:val="28"/>
        </w:rPr>
      </w:pPr>
      <w:proofErr w:type="spellStart"/>
      <w:r w:rsidRPr="000156B7">
        <w:rPr>
          <w:rStyle w:val="TOC3"/>
          <w:rFonts w:cstheme="minorHAnsi"/>
          <w:sz w:val="28"/>
          <w:szCs w:val="28"/>
        </w:rPr>
        <w:t>Colnodo</w:t>
      </w:r>
      <w:proofErr w:type="spellEnd"/>
      <w:r w:rsidRPr="000156B7">
        <w:rPr>
          <w:rStyle w:val="TOC3"/>
          <w:rFonts w:cstheme="minorHAnsi"/>
          <w:sz w:val="28"/>
          <w:szCs w:val="28"/>
        </w:rPr>
        <w:t>, Colombia</w:t>
      </w:r>
    </w:p>
    <w:p w14:paraId="67C84BD5" w14:textId="77777777" w:rsidR="00CF19A9" w:rsidRPr="00CF19A9" w:rsidRDefault="00CF19A9" w:rsidP="00CF19A9">
      <w:pPr>
        <w:pStyle w:val="LO-Normal"/>
        <w:autoSpaceDE w:val="0"/>
        <w:jc w:val="both"/>
        <w:rPr>
          <w:rFonts w:asciiTheme="minorHAnsi" w:hAnsiTheme="minorHAnsi" w:cstheme="minorHAnsi"/>
        </w:rPr>
      </w:pPr>
      <w:proofErr w:type="spellStart"/>
      <w:r w:rsidRPr="00CF19A9">
        <w:rPr>
          <w:rFonts w:asciiTheme="minorHAnsi" w:hAnsiTheme="minorHAnsi" w:cstheme="minorHAnsi"/>
          <w:lang w:val="en-GB"/>
        </w:rPr>
        <w:t>Colnodo</w:t>
      </w:r>
      <w:proofErr w:type="spellEnd"/>
      <w:r w:rsidRPr="00CF19A9">
        <w:rPr>
          <w:rFonts w:asciiTheme="minorHAnsi" w:hAnsiTheme="minorHAnsi" w:cstheme="minorHAnsi"/>
          <w:lang w:val="en-GB"/>
        </w:rPr>
        <w:t xml:space="preserve"> assists indigenous and rural community networks in Colombia that previously had no access to quality communication services. Because of the pandemic, the </w:t>
      </w:r>
      <w:proofErr w:type="spellStart"/>
      <w:r w:rsidRPr="00CF19A9">
        <w:rPr>
          <w:rFonts w:asciiTheme="minorHAnsi" w:hAnsiTheme="minorHAnsi" w:cstheme="minorHAnsi"/>
          <w:lang w:val="en-GB"/>
        </w:rPr>
        <w:t>Colnodo</w:t>
      </w:r>
      <w:proofErr w:type="spellEnd"/>
      <w:r w:rsidRPr="00CF19A9">
        <w:rPr>
          <w:rFonts w:asciiTheme="minorHAnsi" w:hAnsiTheme="minorHAnsi" w:cstheme="minorHAnsi"/>
          <w:lang w:val="en-GB"/>
        </w:rPr>
        <w:t xml:space="preserve">-supported networks have allowed residents of these communities to access information to learn about the virus virtually, preventing a community outbreak, which would not have been possible before the creation of local networks. In Cauca, in eastern Colombia, the indigenous Nasa people plan to use their networks to disseminate their own content to promote community health and education. </w:t>
      </w:r>
      <w:proofErr w:type="spellStart"/>
      <w:r w:rsidRPr="00CF19A9">
        <w:rPr>
          <w:rFonts w:asciiTheme="minorHAnsi" w:hAnsiTheme="minorHAnsi" w:cstheme="minorHAnsi"/>
          <w:lang w:val="en-GB"/>
        </w:rPr>
        <w:t>Colnodo</w:t>
      </w:r>
      <w:proofErr w:type="spellEnd"/>
      <w:r w:rsidRPr="00CF19A9">
        <w:rPr>
          <w:rFonts w:asciiTheme="minorHAnsi" w:hAnsiTheme="minorHAnsi" w:cstheme="minorHAnsi"/>
          <w:lang w:val="en-GB"/>
        </w:rPr>
        <w:t xml:space="preserve"> is currently building a wiki to discuss the processes involved in building, maintaining and managing community networks, so that communities across Colombia can share what they have learned with other interested parties and access a network of virtual support.</w:t>
      </w:r>
    </w:p>
    <w:p w14:paraId="0A1206EB" w14:textId="77777777" w:rsidR="00CF19A9" w:rsidRPr="00CF19A9" w:rsidRDefault="00CF19A9" w:rsidP="00CF19A9">
      <w:pPr>
        <w:pStyle w:val="LO-Normal"/>
        <w:jc w:val="both"/>
        <w:rPr>
          <w:rFonts w:asciiTheme="minorHAnsi" w:hAnsiTheme="minorHAnsi" w:cstheme="minorHAnsi"/>
          <w:lang w:val="en-GB"/>
        </w:rPr>
      </w:pPr>
    </w:p>
    <w:p w14:paraId="70A0255B" w14:textId="77777777" w:rsidR="00CF19A9" w:rsidRPr="000156B7" w:rsidRDefault="00CF19A9" w:rsidP="00CF19A9">
      <w:pPr>
        <w:pStyle w:val="Heading2"/>
        <w:jc w:val="both"/>
        <w:rPr>
          <w:rFonts w:cstheme="minorHAnsi"/>
          <w:sz w:val="28"/>
          <w:szCs w:val="28"/>
        </w:rPr>
      </w:pPr>
      <w:r w:rsidRPr="000156B7">
        <w:rPr>
          <w:rStyle w:val="TOC3"/>
          <w:rFonts w:cstheme="minorHAnsi"/>
          <w:sz w:val="28"/>
          <w:szCs w:val="28"/>
        </w:rPr>
        <w:t>Digital Empowerment Foundation, India</w:t>
      </w:r>
    </w:p>
    <w:p w14:paraId="2CB65812" w14:textId="77777777" w:rsidR="00CF19A9" w:rsidRPr="00CF19A9" w:rsidRDefault="00CF19A9" w:rsidP="00CF19A9">
      <w:pPr>
        <w:pStyle w:val="LO-Normal"/>
        <w:jc w:val="both"/>
        <w:rPr>
          <w:rFonts w:asciiTheme="minorHAnsi" w:hAnsiTheme="minorHAnsi" w:cstheme="minorHAnsi"/>
          <w:lang w:val="en-GB"/>
        </w:rPr>
      </w:pPr>
      <w:r w:rsidRPr="00CF19A9">
        <w:rPr>
          <w:rFonts w:asciiTheme="minorHAnsi" w:hAnsiTheme="minorHAnsi" w:cstheme="minorHAnsi"/>
          <w:lang w:val="en-GB"/>
        </w:rPr>
        <w:t xml:space="preserve">In India, the pandemic has created unexpected challenges, one of which is the reverse migration of workers from cities. These workers have been denied access to various aid programmes and basic </w:t>
      </w:r>
      <w:r w:rsidRPr="00CF19A9">
        <w:rPr>
          <w:rFonts w:asciiTheme="minorHAnsi" w:hAnsiTheme="minorHAnsi" w:cstheme="minorHAnsi"/>
          <w:lang w:val="en-GB"/>
        </w:rPr>
        <w:lastRenderedPageBreak/>
        <w:t>facilities, like subsidised food and financial services. In response, the Digital Empowerment Foundation (DEF) created an ICT-enabled relief programme, with more than 600 digital resource centres and more than 3,000 volunteers. These volunteers are delivering food packages, remote banking, tele-health programmes, and other emergency relief initiatives. Additionally, access to crisis counselling has been offered in response to the often-overwhelming impact of the pandemic on the personal lives of locals.</w:t>
      </w:r>
    </w:p>
    <w:p w14:paraId="6A5D7192" w14:textId="77777777" w:rsidR="00CF19A9" w:rsidRPr="00CF19A9" w:rsidRDefault="00CF19A9" w:rsidP="00CF19A9">
      <w:pPr>
        <w:pStyle w:val="LO-Normal"/>
        <w:jc w:val="both"/>
        <w:rPr>
          <w:rFonts w:asciiTheme="minorHAnsi" w:hAnsiTheme="minorHAnsi" w:cstheme="minorHAnsi"/>
          <w:i/>
          <w:iCs/>
          <w:lang w:val="en-GB"/>
        </w:rPr>
      </w:pPr>
    </w:p>
    <w:p w14:paraId="1DDACF60" w14:textId="77777777" w:rsidR="00CF19A9" w:rsidRPr="000156B7" w:rsidRDefault="00CF19A9" w:rsidP="00CF19A9">
      <w:pPr>
        <w:pStyle w:val="Heading2"/>
        <w:jc w:val="both"/>
        <w:rPr>
          <w:rFonts w:cstheme="minorHAnsi"/>
          <w:sz w:val="28"/>
          <w:szCs w:val="28"/>
        </w:rPr>
      </w:pPr>
      <w:proofErr w:type="spellStart"/>
      <w:r w:rsidRPr="000156B7">
        <w:rPr>
          <w:rStyle w:val="TOC3"/>
          <w:rFonts w:cstheme="minorHAnsi"/>
          <w:sz w:val="28"/>
          <w:szCs w:val="28"/>
        </w:rPr>
        <w:t>Janastu</w:t>
      </w:r>
      <w:proofErr w:type="spellEnd"/>
      <w:r w:rsidRPr="000156B7">
        <w:rPr>
          <w:rStyle w:val="TOC3"/>
          <w:rFonts w:cstheme="minorHAnsi"/>
          <w:sz w:val="28"/>
          <w:szCs w:val="28"/>
        </w:rPr>
        <w:t>, India</w:t>
      </w:r>
    </w:p>
    <w:p w14:paraId="658CF699" w14:textId="554D8351" w:rsidR="00CF19A9" w:rsidRPr="00CF19A9" w:rsidRDefault="00CF19A9" w:rsidP="00CF19A9">
      <w:pPr>
        <w:pStyle w:val="LO-Normal"/>
        <w:jc w:val="both"/>
        <w:rPr>
          <w:rFonts w:asciiTheme="minorHAnsi" w:hAnsiTheme="minorHAnsi" w:cstheme="minorHAnsi"/>
        </w:rPr>
      </w:pPr>
      <w:r w:rsidRPr="00CF19A9">
        <w:rPr>
          <w:rFonts w:asciiTheme="minorHAnsi" w:hAnsiTheme="minorHAnsi" w:cstheme="minorHAnsi"/>
          <w:lang w:val="en-GB"/>
        </w:rPr>
        <w:t xml:space="preserve">The pandemic disrupted </w:t>
      </w:r>
      <w:proofErr w:type="spellStart"/>
      <w:r w:rsidRPr="00CF19A9">
        <w:rPr>
          <w:rFonts w:asciiTheme="minorHAnsi" w:hAnsiTheme="minorHAnsi" w:cstheme="minorHAnsi"/>
          <w:lang w:val="en-GB"/>
        </w:rPr>
        <w:t>Janastu’s</w:t>
      </w:r>
      <w:proofErr w:type="spellEnd"/>
      <w:r w:rsidRPr="00CF19A9">
        <w:rPr>
          <w:rFonts w:asciiTheme="minorHAnsi" w:hAnsiTheme="minorHAnsi" w:cstheme="minorHAnsi"/>
          <w:lang w:val="en-GB"/>
        </w:rPr>
        <w:t xml:space="preserve"> community network development plans from the beginning – they were planning to send a team of eight to Uttar Pradesh in March, but only two were able to travel. They brought safety kits and wore face masks, but there was little social distancing taking place. They returned to Bengaluru the day before the nationwide lockdown was implemented. Originally, </w:t>
      </w:r>
      <w:proofErr w:type="spellStart"/>
      <w:r w:rsidRPr="00CF19A9">
        <w:rPr>
          <w:rFonts w:asciiTheme="minorHAnsi" w:hAnsiTheme="minorHAnsi" w:cstheme="minorHAnsi"/>
          <w:lang w:val="en-GB"/>
        </w:rPr>
        <w:t>Janastu</w:t>
      </w:r>
      <w:proofErr w:type="spellEnd"/>
      <w:r w:rsidRPr="00CF19A9">
        <w:rPr>
          <w:rFonts w:asciiTheme="minorHAnsi" w:hAnsiTheme="minorHAnsi" w:cstheme="minorHAnsi"/>
          <w:lang w:val="en-GB"/>
        </w:rPr>
        <w:t xml:space="preserve"> had planned to introduce</w:t>
      </w:r>
      <w:r w:rsidR="000156B7">
        <w:rPr>
          <w:rFonts w:asciiTheme="minorHAnsi" w:hAnsiTheme="minorHAnsi" w:cstheme="minorHAnsi"/>
          <w:lang w:val="en-GB"/>
        </w:rPr>
        <w:t xml:space="preserve"> WIFI</w:t>
      </w:r>
      <w:r w:rsidRPr="00CF19A9">
        <w:rPr>
          <w:rFonts w:asciiTheme="minorHAnsi" w:hAnsiTheme="minorHAnsi" w:cstheme="minorHAnsi"/>
          <w:lang w:val="en-GB"/>
        </w:rPr>
        <w:t xml:space="preserve"> mesh networks and Raspberry Pi based audio recorders to young women in Mirzapur to collect stories from the community. Lockdown meant forced re-</w:t>
      </w:r>
      <w:proofErr w:type="spellStart"/>
      <w:r w:rsidRPr="00CF19A9">
        <w:rPr>
          <w:rFonts w:asciiTheme="minorHAnsi" w:hAnsiTheme="minorHAnsi" w:cstheme="minorHAnsi"/>
          <w:lang w:val="en-GB"/>
        </w:rPr>
        <w:t>strategising</w:t>
      </w:r>
      <w:proofErr w:type="spellEnd"/>
      <w:r w:rsidRPr="00CF19A9">
        <w:rPr>
          <w:rFonts w:asciiTheme="minorHAnsi" w:hAnsiTheme="minorHAnsi" w:cstheme="minorHAnsi"/>
          <w:lang w:val="en-GB"/>
        </w:rPr>
        <w:t>. New strategies were implemented, mostly around COVID-19 awareness and prevention. This included mask production, translating information into Kannada and other local languages, relief work in various communities, as well as story collection to hear how the pandemic was impacting their communities.</w:t>
      </w:r>
    </w:p>
    <w:p w14:paraId="6BDD3F58" w14:textId="77777777" w:rsidR="00CF19A9" w:rsidRPr="00CF19A9" w:rsidRDefault="00CF19A9" w:rsidP="00CF19A9">
      <w:pPr>
        <w:pStyle w:val="LO-Normal"/>
        <w:jc w:val="both"/>
        <w:rPr>
          <w:rFonts w:asciiTheme="minorHAnsi" w:hAnsiTheme="minorHAnsi" w:cstheme="minorHAnsi"/>
          <w:lang w:val="en-GB"/>
        </w:rPr>
      </w:pPr>
    </w:p>
    <w:p w14:paraId="21D40529" w14:textId="2E45F92F" w:rsidR="00CF19A9" w:rsidRPr="00CF19A9" w:rsidRDefault="00CF19A9" w:rsidP="00CF19A9">
      <w:pPr>
        <w:pStyle w:val="LO-Normal"/>
        <w:jc w:val="both"/>
        <w:rPr>
          <w:rFonts w:asciiTheme="minorHAnsi" w:hAnsiTheme="minorHAnsi" w:cstheme="minorHAnsi"/>
        </w:rPr>
      </w:pPr>
      <w:proofErr w:type="spellStart"/>
      <w:r w:rsidRPr="000156B7">
        <w:rPr>
          <w:rStyle w:val="Hyperlink"/>
          <w:rFonts w:asciiTheme="minorHAnsi" w:hAnsiTheme="minorHAnsi" w:cstheme="minorHAnsi"/>
          <w:b/>
          <w:bCs/>
          <w:color w:val="auto"/>
          <w:u w:val="none"/>
        </w:rPr>
        <w:t>Janastu</w:t>
      </w:r>
      <w:proofErr w:type="spellEnd"/>
      <w:r w:rsidRPr="000156B7">
        <w:rPr>
          <w:rStyle w:val="Hyperlink"/>
          <w:rFonts w:asciiTheme="minorHAnsi" w:hAnsiTheme="minorHAnsi" w:cstheme="minorHAnsi"/>
          <w:b/>
          <w:bCs/>
          <w:color w:val="auto"/>
          <w:u w:val="none"/>
        </w:rPr>
        <w:t>-</w:t>
      </w:r>
      <w:proofErr w:type="spellStart"/>
      <w:r w:rsidRPr="000156B7">
        <w:rPr>
          <w:rStyle w:val="Hyperlink"/>
          <w:rFonts w:asciiTheme="minorHAnsi" w:hAnsiTheme="minorHAnsi" w:cstheme="minorHAnsi"/>
          <w:b/>
          <w:bCs/>
          <w:color w:val="auto"/>
          <w:u w:val="none"/>
          <w:lang w:val="en-GB"/>
        </w:rPr>
        <w:t>Futuretron</w:t>
      </w:r>
      <w:proofErr w:type="spellEnd"/>
      <w:r w:rsidRPr="000156B7">
        <w:rPr>
          <w:rStyle w:val="Hyperlink"/>
          <w:rFonts w:asciiTheme="minorHAnsi" w:hAnsiTheme="minorHAnsi" w:cstheme="minorHAnsi"/>
          <w:b/>
          <w:bCs/>
          <w:color w:val="auto"/>
          <w:u w:val="none"/>
          <w:lang w:val="en-GB"/>
        </w:rPr>
        <w:t xml:space="preserve"> Labs:</w:t>
      </w:r>
      <w:r w:rsidRPr="000156B7">
        <w:rPr>
          <w:rStyle w:val="Hyperlink"/>
          <w:rFonts w:asciiTheme="minorHAnsi" w:hAnsiTheme="minorHAnsi" w:cstheme="minorHAnsi"/>
          <w:i/>
          <w:iCs/>
          <w:color w:val="auto"/>
          <w:lang w:val="en-GB"/>
        </w:rPr>
        <w:t xml:space="preserve"> </w:t>
      </w:r>
      <w:proofErr w:type="spellStart"/>
      <w:r w:rsidRPr="000156B7">
        <w:rPr>
          <w:rFonts w:asciiTheme="minorHAnsi" w:hAnsiTheme="minorHAnsi" w:cstheme="minorHAnsi"/>
          <w:lang w:val="en-GB"/>
        </w:rPr>
        <w:t>Futuretron</w:t>
      </w:r>
      <w:proofErr w:type="spellEnd"/>
      <w:r w:rsidRPr="000156B7">
        <w:rPr>
          <w:rFonts w:asciiTheme="minorHAnsi" w:hAnsiTheme="minorHAnsi" w:cstheme="minorHAnsi"/>
          <w:lang w:val="en-GB"/>
        </w:rPr>
        <w:t xml:space="preserve"> </w:t>
      </w:r>
      <w:r w:rsidRPr="00CF19A9">
        <w:rPr>
          <w:rFonts w:asciiTheme="minorHAnsi" w:hAnsiTheme="minorHAnsi" w:cstheme="minorHAnsi"/>
          <w:lang w:val="en-GB"/>
        </w:rPr>
        <w:t xml:space="preserve">Labs, which works on electric vehicle mobility, collaborated with </w:t>
      </w:r>
      <w:proofErr w:type="spellStart"/>
      <w:r w:rsidRPr="00CF19A9">
        <w:rPr>
          <w:rFonts w:asciiTheme="minorHAnsi" w:hAnsiTheme="minorHAnsi" w:cstheme="minorHAnsi"/>
          <w:lang w:val="en-GB"/>
        </w:rPr>
        <w:t>Janastu</w:t>
      </w:r>
      <w:proofErr w:type="spellEnd"/>
      <w:r w:rsidRPr="00CF19A9">
        <w:rPr>
          <w:rFonts w:asciiTheme="minorHAnsi" w:hAnsiTheme="minorHAnsi" w:cstheme="minorHAnsi"/>
          <w:lang w:val="en-GB"/>
        </w:rPr>
        <w:t xml:space="preserve"> once the pandemic began. The lab began producing three new products to help with curtailing the spread of the virus: a foot pedal-operated hand sanitiser, an automatic contactless sanitiser dispenser, and a UV-based disinfectant</w:t>
      </w:r>
      <w:r w:rsidR="000156B7">
        <w:rPr>
          <w:rStyle w:val="FootnoteReference"/>
          <w:rFonts w:cstheme="minorHAnsi"/>
          <w:lang w:val="en-GB"/>
        </w:rPr>
        <w:footnoteReference w:id="5"/>
      </w:r>
      <w:r w:rsidRPr="00CF19A9">
        <w:rPr>
          <w:rFonts w:asciiTheme="minorHAnsi" w:hAnsiTheme="minorHAnsi" w:cstheme="minorHAnsi"/>
          <w:lang w:val="en-GB"/>
        </w:rPr>
        <w:t>.</w:t>
      </w:r>
    </w:p>
    <w:p w14:paraId="5DD6C8D7" w14:textId="77777777" w:rsidR="00CF19A9" w:rsidRPr="000156B7" w:rsidRDefault="00CF19A9" w:rsidP="00CF19A9">
      <w:pPr>
        <w:pStyle w:val="LO-Normal"/>
        <w:jc w:val="both"/>
        <w:rPr>
          <w:rFonts w:asciiTheme="minorHAnsi" w:hAnsiTheme="minorHAnsi" w:cstheme="minorHAnsi"/>
          <w:i/>
          <w:iCs/>
          <w:lang w:val="en-GB"/>
        </w:rPr>
      </w:pPr>
    </w:p>
    <w:p w14:paraId="13E3BCDF" w14:textId="77777777" w:rsidR="00CF19A9" w:rsidRPr="00CF19A9" w:rsidRDefault="00CF19A9" w:rsidP="00CF19A9">
      <w:pPr>
        <w:pStyle w:val="LO-Normal"/>
        <w:jc w:val="both"/>
        <w:rPr>
          <w:rFonts w:asciiTheme="minorHAnsi" w:hAnsiTheme="minorHAnsi" w:cstheme="minorHAnsi"/>
        </w:rPr>
      </w:pPr>
      <w:proofErr w:type="spellStart"/>
      <w:r w:rsidRPr="000156B7">
        <w:rPr>
          <w:rStyle w:val="Hyperlink"/>
          <w:rFonts w:asciiTheme="minorHAnsi" w:hAnsiTheme="minorHAnsi" w:cstheme="minorHAnsi"/>
          <w:b/>
          <w:bCs/>
          <w:color w:val="auto"/>
          <w:u w:val="none"/>
          <w:lang w:val="en-GB"/>
        </w:rPr>
        <w:t>Janastu-Namma</w:t>
      </w:r>
      <w:proofErr w:type="spellEnd"/>
      <w:r w:rsidRPr="000156B7">
        <w:rPr>
          <w:rStyle w:val="Hyperlink"/>
          <w:rFonts w:asciiTheme="minorHAnsi" w:hAnsiTheme="minorHAnsi" w:cstheme="minorHAnsi"/>
          <w:b/>
          <w:bCs/>
          <w:color w:val="auto"/>
          <w:u w:val="none"/>
          <w:lang w:val="en-GB"/>
        </w:rPr>
        <w:t xml:space="preserve"> </w:t>
      </w:r>
      <w:proofErr w:type="spellStart"/>
      <w:r w:rsidRPr="000156B7">
        <w:rPr>
          <w:rStyle w:val="Hyperlink"/>
          <w:rFonts w:asciiTheme="minorHAnsi" w:hAnsiTheme="minorHAnsi" w:cstheme="minorHAnsi"/>
          <w:b/>
          <w:bCs/>
          <w:color w:val="auto"/>
          <w:u w:val="none"/>
          <w:lang w:val="en-GB"/>
        </w:rPr>
        <w:t>Halli</w:t>
      </w:r>
      <w:proofErr w:type="spellEnd"/>
      <w:r w:rsidRPr="000156B7">
        <w:rPr>
          <w:rStyle w:val="Hyperlink"/>
          <w:rFonts w:asciiTheme="minorHAnsi" w:hAnsiTheme="minorHAnsi" w:cstheme="minorHAnsi"/>
          <w:b/>
          <w:bCs/>
          <w:color w:val="auto"/>
          <w:u w:val="none"/>
          <w:lang w:val="en-GB"/>
        </w:rPr>
        <w:t xml:space="preserve"> Radio/</w:t>
      </w:r>
      <w:proofErr w:type="spellStart"/>
      <w:r w:rsidRPr="000156B7">
        <w:rPr>
          <w:rStyle w:val="Hyperlink"/>
          <w:rFonts w:asciiTheme="minorHAnsi" w:hAnsiTheme="minorHAnsi" w:cstheme="minorHAnsi"/>
          <w:b/>
          <w:bCs/>
          <w:color w:val="auto"/>
          <w:u w:val="none"/>
          <w:lang w:val="en-GB"/>
        </w:rPr>
        <w:t>Pragathi</w:t>
      </w:r>
      <w:proofErr w:type="spellEnd"/>
      <w:r w:rsidRPr="000156B7">
        <w:rPr>
          <w:rStyle w:val="Hyperlink"/>
          <w:rFonts w:asciiTheme="minorHAnsi" w:hAnsiTheme="minorHAnsi" w:cstheme="minorHAnsi"/>
          <w:b/>
          <w:bCs/>
          <w:color w:val="auto"/>
          <w:u w:val="none"/>
          <w:lang w:val="en-GB"/>
        </w:rPr>
        <w:t xml:space="preserve"> Foundation:</w:t>
      </w:r>
      <w:r w:rsidRPr="000156B7">
        <w:rPr>
          <w:rStyle w:val="Hyperlink"/>
          <w:rFonts w:asciiTheme="minorHAnsi" w:hAnsiTheme="minorHAnsi" w:cstheme="minorHAnsi"/>
          <w:b/>
          <w:bCs/>
          <w:color w:val="auto"/>
          <w:lang w:val="en-GB"/>
        </w:rPr>
        <w:t xml:space="preserve"> </w:t>
      </w:r>
      <w:r w:rsidRPr="00CF19A9">
        <w:rPr>
          <w:rFonts w:asciiTheme="minorHAnsi" w:hAnsiTheme="minorHAnsi" w:cstheme="minorHAnsi"/>
          <w:lang w:val="en-GB"/>
        </w:rPr>
        <w:t xml:space="preserve">A mobile radio station in </w:t>
      </w:r>
      <w:proofErr w:type="spellStart"/>
      <w:r w:rsidRPr="00CF19A9">
        <w:rPr>
          <w:rFonts w:asciiTheme="minorHAnsi" w:hAnsiTheme="minorHAnsi" w:cstheme="minorHAnsi"/>
          <w:lang w:val="en-GB"/>
        </w:rPr>
        <w:t>Tumakuru</w:t>
      </w:r>
      <w:proofErr w:type="spellEnd"/>
      <w:r w:rsidRPr="00CF19A9">
        <w:rPr>
          <w:rFonts w:asciiTheme="minorHAnsi" w:hAnsiTheme="minorHAnsi" w:cstheme="minorHAnsi"/>
          <w:lang w:val="en-GB"/>
        </w:rPr>
        <w:t xml:space="preserve"> district has reached over 25,000 people in over 60 villages. It focuses on local languages and dialects, and students and volunteers have been helping with programme production. The production information is then shared through public service announcements in local villages. The focus has been on vital COVID-19 information, including preventing the spread of the infection, containment, personal </w:t>
      </w:r>
      <w:proofErr w:type="gramStart"/>
      <w:r w:rsidRPr="00CF19A9">
        <w:rPr>
          <w:rFonts w:asciiTheme="minorHAnsi" w:hAnsiTheme="minorHAnsi" w:cstheme="minorHAnsi"/>
          <w:lang w:val="en-GB"/>
        </w:rPr>
        <w:t>hygiene</w:t>
      </w:r>
      <w:proofErr w:type="gramEnd"/>
      <w:r w:rsidRPr="00CF19A9">
        <w:rPr>
          <w:rFonts w:asciiTheme="minorHAnsi" w:hAnsiTheme="minorHAnsi" w:cstheme="minorHAnsi"/>
          <w:lang w:val="en-GB"/>
        </w:rPr>
        <w:t xml:space="preserve"> and social distancing, as well as fighting disinformation by sharing information from experts.</w:t>
      </w:r>
    </w:p>
    <w:p w14:paraId="22D1658B" w14:textId="77777777" w:rsidR="00CF19A9" w:rsidRPr="00CF19A9" w:rsidRDefault="00CF19A9" w:rsidP="00CF19A9">
      <w:pPr>
        <w:pStyle w:val="LO-Normal"/>
        <w:autoSpaceDE w:val="0"/>
        <w:jc w:val="both"/>
        <w:rPr>
          <w:rFonts w:asciiTheme="minorHAnsi" w:hAnsiTheme="minorHAnsi" w:cstheme="minorHAnsi"/>
          <w:lang w:val="en-GB"/>
        </w:rPr>
      </w:pPr>
    </w:p>
    <w:p w14:paraId="5631579E" w14:textId="77777777" w:rsidR="00CF19A9" w:rsidRPr="000156B7" w:rsidRDefault="00CF19A9" w:rsidP="00CF19A9">
      <w:pPr>
        <w:pStyle w:val="Heading2"/>
        <w:jc w:val="both"/>
        <w:rPr>
          <w:rFonts w:cstheme="minorHAnsi"/>
          <w:sz w:val="28"/>
          <w:szCs w:val="28"/>
        </w:rPr>
      </w:pPr>
      <w:r w:rsidRPr="000156B7">
        <w:rPr>
          <w:rStyle w:val="TOC3"/>
          <w:rFonts w:cstheme="minorHAnsi"/>
          <w:sz w:val="28"/>
          <w:szCs w:val="28"/>
        </w:rPr>
        <w:t>BAIF Development Research Foundation, India</w:t>
      </w:r>
    </w:p>
    <w:p w14:paraId="66D04AA8" w14:textId="5FD75500" w:rsidR="00CF19A9" w:rsidRPr="00CF19A9" w:rsidRDefault="00CF19A9" w:rsidP="00CF19A9">
      <w:pPr>
        <w:pStyle w:val="LO-Normal"/>
        <w:autoSpaceDE w:val="0"/>
        <w:jc w:val="both"/>
        <w:rPr>
          <w:rFonts w:asciiTheme="minorHAnsi" w:hAnsiTheme="minorHAnsi" w:cstheme="minorHAnsi"/>
        </w:rPr>
      </w:pPr>
      <w:r w:rsidRPr="00CF19A9">
        <w:rPr>
          <w:rFonts w:asciiTheme="minorHAnsi" w:hAnsiTheme="minorHAnsi" w:cstheme="minorHAnsi"/>
          <w:lang w:val="en-GB"/>
        </w:rPr>
        <w:t xml:space="preserve">The lack of digital services for remote villages, combined with the lack of work options for young women, has resulted in the </w:t>
      </w:r>
      <w:proofErr w:type="spellStart"/>
      <w:r w:rsidRPr="00CF19A9">
        <w:rPr>
          <w:rFonts w:asciiTheme="minorHAnsi" w:hAnsiTheme="minorHAnsi" w:cstheme="minorHAnsi"/>
          <w:lang w:val="en-GB"/>
        </w:rPr>
        <w:t>eDost</w:t>
      </w:r>
      <w:proofErr w:type="spellEnd"/>
      <w:r w:rsidRPr="00CF19A9">
        <w:rPr>
          <w:rFonts w:asciiTheme="minorHAnsi" w:hAnsiTheme="minorHAnsi" w:cstheme="minorHAnsi"/>
          <w:lang w:val="en-GB"/>
        </w:rPr>
        <w:t xml:space="preserve"> program to create a system of online services provided by women. The first </w:t>
      </w:r>
      <w:proofErr w:type="spellStart"/>
      <w:r w:rsidRPr="00CF19A9">
        <w:rPr>
          <w:rFonts w:asciiTheme="minorHAnsi" w:hAnsiTheme="minorHAnsi" w:cstheme="minorHAnsi"/>
          <w:lang w:val="en-GB"/>
        </w:rPr>
        <w:t>eDost</w:t>
      </w:r>
      <w:proofErr w:type="spellEnd"/>
      <w:r w:rsidRPr="00CF19A9">
        <w:rPr>
          <w:rFonts w:asciiTheme="minorHAnsi" w:hAnsiTheme="minorHAnsi" w:cstheme="minorHAnsi"/>
          <w:lang w:val="en-GB"/>
        </w:rPr>
        <w:t xml:space="preserve"> began in Maharashtra, in the village of </w:t>
      </w:r>
      <w:proofErr w:type="spellStart"/>
      <w:r w:rsidRPr="00CF19A9">
        <w:rPr>
          <w:rFonts w:asciiTheme="minorHAnsi" w:hAnsiTheme="minorHAnsi" w:cstheme="minorHAnsi"/>
          <w:lang w:val="en-GB"/>
        </w:rPr>
        <w:t>Pathardi</w:t>
      </w:r>
      <w:proofErr w:type="spellEnd"/>
      <w:r w:rsidRPr="00CF19A9">
        <w:rPr>
          <w:rFonts w:asciiTheme="minorHAnsi" w:hAnsiTheme="minorHAnsi" w:cstheme="minorHAnsi"/>
          <w:lang w:val="en-GB"/>
        </w:rPr>
        <w:t xml:space="preserve">, and consisted of a woman named Anjali Tai offering financial services locally, which saved villagers from having to travel to the next town to procure such services. With support from APC, this model grew to 15 </w:t>
      </w:r>
      <w:proofErr w:type="spellStart"/>
      <w:r w:rsidRPr="00CF19A9">
        <w:rPr>
          <w:rFonts w:asciiTheme="minorHAnsi" w:hAnsiTheme="minorHAnsi" w:cstheme="minorHAnsi"/>
          <w:lang w:val="en-GB"/>
        </w:rPr>
        <w:t>eDosts</w:t>
      </w:r>
      <w:proofErr w:type="spellEnd"/>
      <w:r w:rsidRPr="00CF19A9">
        <w:rPr>
          <w:rFonts w:asciiTheme="minorHAnsi" w:hAnsiTheme="minorHAnsi" w:cstheme="minorHAnsi"/>
          <w:lang w:val="en-GB"/>
        </w:rPr>
        <w:t xml:space="preserve"> offering services such as cash withdrawal, money transfers and bill payments, among other financial services. The pandemic lockdown resulted in people being unable to leave their homes, and during this time, the Indian government also began offering financial support to community members. This is when the </w:t>
      </w:r>
      <w:proofErr w:type="spellStart"/>
      <w:r w:rsidRPr="00CF19A9">
        <w:rPr>
          <w:rFonts w:asciiTheme="minorHAnsi" w:hAnsiTheme="minorHAnsi" w:cstheme="minorHAnsi"/>
          <w:lang w:val="en-GB"/>
        </w:rPr>
        <w:t>eDosts</w:t>
      </w:r>
      <w:proofErr w:type="spellEnd"/>
      <w:r w:rsidRPr="00CF19A9">
        <w:rPr>
          <w:rFonts w:asciiTheme="minorHAnsi" w:hAnsiTheme="minorHAnsi" w:cstheme="minorHAnsi"/>
          <w:lang w:val="en-GB"/>
        </w:rPr>
        <w:t xml:space="preserve"> stepped up and offered financial services that enabled the community to withdraw funds and to recharge their cell phones from their front doors. Within a month, 10 </w:t>
      </w:r>
      <w:proofErr w:type="spellStart"/>
      <w:r w:rsidRPr="00CF19A9">
        <w:rPr>
          <w:rFonts w:asciiTheme="minorHAnsi" w:hAnsiTheme="minorHAnsi" w:cstheme="minorHAnsi"/>
          <w:lang w:val="en-GB"/>
        </w:rPr>
        <w:t>eDosts</w:t>
      </w:r>
      <w:proofErr w:type="spellEnd"/>
      <w:r w:rsidRPr="00CF19A9">
        <w:rPr>
          <w:rFonts w:asciiTheme="minorHAnsi" w:hAnsiTheme="minorHAnsi" w:cstheme="minorHAnsi"/>
          <w:lang w:val="en-GB"/>
        </w:rPr>
        <w:t xml:space="preserve"> offered services to 828 beneficiaries. The district authorities appreciated the project and have </w:t>
      </w:r>
      <w:r w:rsidRPr="00CF19A9">
        <w:rPr>
          <w:rFonts w:asciiTheme="minorHAnsi" w:hAnsiTheme="minorHAnsi" w:cstheme="minorHAnsi"/>
          <w:lang w:val="en-GB"/>
        </w:rPr>
        <w:lastRenderedPageBreak/>
        <w:t>requested it be scaled up across the district and the programme also plans to expand into e</w:t>
      </w:r>
      <w:r w:rsidRPr="00CF19A9">
        <w:rPr>
          <w:rFonts w:asciiTheme="minorHAnsi" w:hAnsiTheme="minorHAnsi" w:cstheme="minorHAnsi"/>
          <w:lang w:val="en-GB"/>
        </w:rPr>
        <w:noBreakHyphen/>
        <w:t>governance and knowledge sharing services.</w:t>
      </w:r>
    </w:p>
    <w:p w14:paraId="5FCD0365" w14:textId="77777777" w:rsidR="00CF19A9" w:rsidRPr="000156B7" w:rsidRDefault="00CF19A9" w:rsidP="00CF19A9">
      <w:pPr>
        <w:pStyle w:val="LO-Normal"/>
        <w:autoSpaceDE w:val="0"/>
        <w:jc w:val="both"/>
        <w:rPr>
          <w:rFonts w:asciiTheme="minorHAnsi" w:hAnsiTheme="minorHAnsi" w:cstheme="minorHAnsi"/>
        </w:rPr>
      </w:pPr>
    </w:p>
    <w:p w14:paraId="570816E7" w14:textId="77777777" w:rsidR="00CF19A9" w:rsidRPr="000156B7" w:rsidRDefault="00CF19A9" w:rsidP="00CF19A9">
      <w:pPr>
        <w:pStyle w:val="Heading2"/>
        <w:jc w:val="both"/>
        <w:rPr>
          <w:rFonts w:cstheme="minorHAnsi"/>
          <w:sz w:val="28"/>
          <w:szCs w:val="28"/>
        </w:rPr>
      </w:pPr>
      <w:r w:rsidRPr="000156B7">
        <w:rPr>
          <w:rStyle w:val="TOC3"/>
          <w:rFonts w:cstheme="minorHAnsi"/>
          <w:sz w:val="28"/>
          <w:szCs w:val="28"/>
        </w:rPr>
        <w:t>The Spoken Tutorial, India</w:t>
      </w:r>
    </w:p>
    <w:p w14:paraId="3E6FE7BC" w14:textId="77777777" w:rsidR="00CF19A9" w:rsidRPr="00CF19A9" w:rsidRDefault="00CF19A9" w:rsidP="00CF19A9">
      <w:pPr>
        <w:pStyle w:val="LO-Normal"/>
        <w:autoSpaceDE w:val="0"/>
        <w:jc w:val="both"/>
        <w:rPr>
          <w:rFonts w:asciiTheme="minorHAnsi" w:hAnsiTheme="minorHAnsi" w:cstheme="minorHAnsi"/>
        </w:rPr>
      </w:pPr>
      <w:r w:rsidRPr="00CF19A9">
        <w:rPr>
          <w:rFonts w:asciiTheme="minorHAnsi" w:hAnsiTheme="minorHAnsi" w:cstheme="minorHAnsi"/>
          <w:lang w:val="en-GB"/>
        </w:rPr>
        <w:t>One of the many impacts of the pandemic has been on education, and as such, virtual learning and distance-learning platforms have become increasingly important. However, these initiatives are only available to people who have access to networks and connectivity, while there are still half a billion people in India without internet access. The Spoken Tutorial project, founded in 2009 and funded by the Indian government, aims to disseminate knowledge using free/libre and open source software, using 10-minute-long audio-video tutorials. Since the lockdown in India began, usage of the Spoken Tutorial has gone up astronomically. The main purpose of Spoken Tutorial is to promote IT literacy and address the information accessibility gap. It empowers communities to create their own content, in their own languages, and these products are then made available on the Spoken Tutorial website, easily accessible even without any prior knowledge of software technology, allowing students to download zip files in limited connectivity environments.</w:t>
      </w:r>
    </w:p>
    <w:p w14:paraId="6619F687" w14:textId="77777777" w:rsidR="00CF19A9" w:rsidRPr="00CF19A9" w:rsidRDefault="00CF19A9" w:rsidP="00CF19A9">
      <w:pPr>
        <w:pStyle w:val="LO-Normal"/>
        <w:jc w:val="both"/>
        <w:rPr>
          <w:rFonts w:asciiTheme="minorHAnsi" w:hAnsiTheme="minorHAnsi" w:cstheme="minorHAnsi"/>
          <w:b/>
          <w:bCs/>
          <w:lang w:val="en-GB"/>
        </w:rPr>
      </w:pPr>
    </w:p>
    <w:p w14:paraId="0D139414" w14:textId="77777777" w:rsidR="00CF19A9" w:rsidRPr="000156B7" w:rsidRDefault="00CF19A9" w:rsidP="00CF19A9">
      <w:pPr>
        <w:pStyle w:val="Heading2"/>
        <w:jc w:val="both"/>
        <w:rPr>
          <w:rFonts w:cstheme="minorHAnsi"/>
          <w:sz w:val="28"/>
          <w:szCs w:val="28"/>
        </w:rPr>
      </w:pPr>
      <w:proofErr w:type="spellStart"/>
      <w:r w:rsidRPr="000156B7">
        <w:rPr>
          <w:rStyle w:val="TOC3"/>
          <w:rFonts w:cstheme="minorHAnsi"/>
          <w:sz w:val="28"/>
          <w:szCs w:val="28"/>
        </w:rPr>
        <w:t>Zenzeleni</w:t>
      </w:r>
      <w:proofErr w:type="spellEnd"/>
      <w:r w:rsidRPr="000156B7">
        <w:rPr>
          <w:rStyle w:val="TOC3"/>
          <w:rFonts w:cstheme="minorHAnsi"/>
          <w:sz w:val="28"/>
          <w:szCs w:val="28"/>
        </w:rPr>
        <w:t>, South Africa</w:t>
      </w:r>
    </w:p>
    <w:p w14:paraId="6A61D7E1" w14:textId="53F7E634" w:rsidR="00CF19A9" w:rsidRPr="00CF19A9" w:rsidRDefault="00CF19A9" w:rsidP="00CF19A9">
      <w:pPr>
        <w:pStyle w:val="LO-Normal"/>
        <w:autoSpaceDE w:val="0"/>
        <w:jc w:val="both"/>
        <w:rPr>
          <w:rFonts w:asciiTheme="minorHAnsi" w:hAnsiTheme="minorHAnsi" w:cstheme="minorHAnsi"/>
        </w:rPr>
      </w:pPr>
      <w:r w:rsidRPr="00CF19A9">
        <w:rPr>
          <w:rFonts w:asciiTheme="minorHAnsi" w:hAnsiTheme="minorHAnsi" w:cstheme="minorHAnsi"/>
          <w:lang w:val="en-GB"/>
        </w:rPr>
        <w:t xml:space="preserve">A challenge facing the </w:t>
      </w:r>
      <w:proofErr w:type="spellStart"/>
      <w:r w:rsidRPr="00CF19A9">
        <w:rPr>
          <w:rFonts w:asciiTheme="minorHAnsi" w:hAnsiTheme="minorHAnsi" w:cstheme="minorHAnsi"/>
          <w:lang w:val="en-GB"/>
        </w:rPr>
        <w:t>Zenzeleni</w:t>
      </w:r>
      <w:proofErr w:type="spellEnd"/>
      <w:r w:rsidRPr="00CF19A9">
        <w:rPr>
          <w:rFonts w:asciiTheme="minorHAnsi" w:hAnsiTheme="minorHAnsi" w:cstheme="minorHAnsi"/>
          <w:lang w:val="en-GB"/>
        </w:rPr>
        <w:t xml:space="preserve"> local access co-operative has been the lack of relevant, </w:t>
      </w:r>
      <w:proofErr w:type="gramStart"/>
      <w:r w:rsidRPr="00CF19A9">
        <w:rPr>
          <w:rFonts w:asciiTheme="minorHAnsi" w:hAnsiTheme="minorHAnsi" w:cstheme="minorHAnsi"/>
          <w:lang w:val="en-GB"/>
        </w:rPr>
        <w:t>reliable</w:t>
      </w:r>
      <w:proofErr w:type="gramEnd"/>
      <w:r w:rsidRPr="00CF19A9">
        <w:rPr>
          <w:rFonts w:asciiTheme="minorHAnsi" w:hAnsiTheme="minorHAnsi" w:cstheme="minorHAnsi"/>
          <w:lang w:val="en-GB"/>
        </w:rPr>
        <w:t xml:space="preserve"> and up-to-date information in rural communities, particularly in isiXhosa, the local language. Given that much of the nationally disseminated information was not relevant to their communities, </w:t>
      </w:r>
      <w:proofErr w:type="spellStart"/>
      <w:r w:rsidRPr="00CF19A9">
        <w:rPr>
          <w:rFonts w:asciiTheme="minorHAnsi" w:hAnsiTheme="minorHAnsi" w:cstheme="minorHAnsi"/>
          <w:lang w:val="en-GB"/>
        </w:rPr>
        <w:t>Zenzeleni</w:t>
      </w:r>
      <w:proofErr w:type="spellEnd"/>
      <w:r w:rsidRPr="00CF19A9">
        <w:rPr>
          <w:rFonts w:asciiTheme="minorHAnsi" w:hAnsiTheme="minorHAnsi" w:cstheme="minorHAnsi"/>
          <w:lang w:val="en-GB"/>
        </w:rPr>
        <w:t xml:space="preserve"> launched a digital </w:t>
      </w:r>
      <w:r w:rsidRPr="000156B7">
        <w:rPr>
          <w:rStyle w:val="Hyperlink"/>
          <w:rFonts w:asciiTheme="minorHAnsi" w:hAnsiTheme="minorHAnsi" w:cstheme="minorHAnsi"/>
          <w:color w:val="auto"/>
          <w:u w:val="none"/>
          <w:lang w:val="en-GB"/>
        </w:rPr>
        <w:t>Community Notice Board</w:t>
      </w:r>
      <w:r w:rsidRPr="000156B7">
        <w:rPr>
          <w:rFonts w:asciiTheme="minorHAnsi" w:hAnsiTheme="minorHAnsi" w:cstheme="minorHAnsi"/>
          <w:lang w:val="en-GB"/>
        </w:rPr>
        <w:t xml:space="preserve"> </w:t>
      </w:r>
      <w:r w:rsidRPr="00CF19A9">
        <w:rPr>
          <w:rFonts w:asciiTheme="minorHAnsi" w:hAnsiTheme="minorHAnsi" w:cstheme="minorHAnsi"/>
          <w:lang w:val="en-GB"/>
        </w:rPr>
        <w:t xml:space="preserve">with health resources tailored specifically to the local communities, available for free to anyone connecting through </w:t>
      </w:r>
      <w:proofErr w:type="spellStart"/>
      <w:r w:rsidRPr="00CF19A9">
        <w:rPr>
          <w:rFonts w:asciiTheme="minorHAnsi" w:hAnsiTheme="minorHAnsi" w:cstheme="minorHAnsi"/>
          <w:lang w:val="en-GB"/>
        </w:rPr>
        <w:t>Zenzeleni’s</w:t>
      </w:r>
      <w:proofErr w:type="spellEnd"/>
      <w:r w:rsidRPr="00CF19A9">
        <w:rPr>
          <w:rFonts w:asciiTheme="minorHAnsi" w:hAnsiTheme="minorHAnsi" w:cstheme="minorHAnsi"/>
          <w:lang w:val="en-GB"/>
        </w:rPr>
        <w:t xml:space="preserve"> networks</w:t>
      </w:r>
      <w:r w:rsidR="000156B7">
        <w:rPr>
          <w:rStyle w:val="FootnoteReference"/>
          <w:rFonts w:cstheme="minorHAnsi"/>
          <w:lang w:val="en-GB"/>
        </w:rPr>
        <w:footnoteReference w:id="6"/>
      </w:r>
      <w:r w:rsidRPr="00CF19A9">
        <w:rPr>
          <w:rFonts w:asciiTheme="minorHAnsi" w:hAnsiTheme="minorHAnsi" w:cstheme="minorHAnsi"/>
          <w:lang w:val="en-GB"/>
        </w:rPr>
        <w:t xml:space="preserve">. The notice board also includes guidelines to discern between accurate and verifiable information and misinformation. Access to reliable and affordable information is </w:t>
      </w:r>
      <w:proofErr w:type="spellStart"/>
      <w:r w:rsidRPr="00CF19A9">
        <w:rPr>
          <w:rFonts w:asciiTheme="minorHAnsi" w:hAnsiTheme="minorHAnsi" w:cstheme="minorHAnsi"/>
          <w:lang w:val="en-GB"/>
        </w:rPr>
        <w:t>Zenzeleni’s</w:t>
      </w:r>
      <w:proofErr w:type="spellEnd"/>
      <w:r w:rsidRPr="00CF19A9">
        <w:rPr>
          <w:rFonts w:asciiTheme="minorHAnsi" w:hAnsiTheme="minorHAnsi" w:cstheme="minorHAnsi"/>
          <w:lang w:val="en-GB"/>
        </w:rPr>
        <w:t xml:space="preserve"> priority, and it is exceptionally important during a global health crisis.</w:t>
      </w:r>
    </w:p>
    <w:p w14:paraId="46A3D3D7" w14:textId="77777777" w:rsidR="00CF19A9" w:rsidRPr="00CF19A9" w:rsidRDefault="00CF19A9" w:rsidP="00CF19A9">
      <w:pPr>
        <w:pStyle w:val="LO-Normal"/>
        <w:autoSpaceDE w:val="0"/>
        <w:jc w:val="both"/>
        <w:rPr>
          <w:rFonts w:asciiTheme="minorHAnsi" w:hAnsiTheme="minorHAnsi" w:cstheme="minorHAnsi"/>
          <w:lang w:val="en-GB"/>
        </w:rPr>
      </w:pPr>
    </w:p>
    <w:p w14:paraId="1602B7AC" w14:textId="77777777" w:rsidR="00CF19A9" w:rsidRPr="000156B7" w:rsidRDefault="00CF19A9" w:rsidP="00CF19A9">
      <w:pPr>
        <w:pStyle w:val="Heading1"/>
        <w:jc w:val="both"/>
        <w:rPr>
          <w:rFonts w:cstheme="minorHAnsi"/>
          <w:szCs w:val="28"/>
        </w:rPr>
      </w:pPr>
      <w:r w:rsidRPr="000156B7">
        <w:rPr>
          <w:rFonts w:cstheme="minorHAnsi"/>
          <w:szCs w:val="28"/>
        </w:rPr>
        <w:t>About APC</w:t>
      </w:r>
    </w:p>
    <w:p w14:paraId="046364BF" w14:textId="6F08C5CD" w:rsidR="00CF19A9" w:rsidRPr="00CF19A9" w:rsidRDefault="00CF19A9" w:rsidP="00CF19A9">
      <w:pPr>
        <w:pStyle w:val="LO-Normal"/>
        <w:autoSpaceDE w:val="0"/>
        <w:jc w:val="both"/>
        <w:rPr>
          <w:rFonts w:asciiTheme="minorHAnsi" w:hAnsiTheme="minorHAnsi" w:cstheme="minorHAnsi"/>
        </w:rPr>
      </w:pPr>
      <w:r w:rsidRPr="00CF19A9">
        <w:rPr>
          <w:rFonts w:asciiTheme="minorHAnsi" w:hAnsiTheme="minorHAnsi" w:cstheme="minorHAnsi"/>
          <w:lang w:val="en-GB"/>
        </w:rPr>
        <w:t>The Association for Progressive Communications</w:t>
      </w:r>
      <w:r w:rsidR="000156B7">
        <w:rPr>
          <w:rStyle w:val="FootnoteReference"/>
          <w:rFonts w:cstheme="minorHAnsi"/>
          <w:lang w:val="en-GB"/>
        </w:rPr>
        <w:footnoteReference w:id="7"/>
      </w:r>
      <w:r w:rsidRPr="00CF19A9">
        <w:rPr>
          <w:rFonts w:asciiTheme="minorHAnsi" w:hAnsiTheme="minorHAnsi" w:cstheme="minorHAnsi"/>
          <w:lang w:val="en-GB"/>
        </w:rPr>
        <w:t>, APC, is an international network founded in 1990 dedicated to empowering and supporting groups and individuals working for peace, human rights,  development and protection of the environment, through the strategic use of information and communication technologies (ICTs), including the internet. The APC network has 57 organisational members and 35 individual members active in 73 countries.</w:t>
      </w:r>
    </w:p>
    <w:p w14:paraId="68D6CFBE" w14:textId="187BE2FE" w:rsidR="00CF19A9" w:rsidRPr="00CF19A9" w:rsidRDefault="00CF19A9" w:rsidP="00CF19A9">
      <w:pPr>
        <w:tabs>
          <w:tab w:val="clear" w:pos="794"/>
          <w:tab w:val="clear" w:pos="1191"/>
          <w:tab w:val="clear" w:pos="1588"/>
          <w:tab w:val="clear" w:pos="1985"/>
        </w:tabs>
        <w:overflowPunct/>
        <w:spacing w:before="0"/>
        <w:textAlignment w:val="auto"/>
        <w:rPr>
          <w:rFonts w:cstheme="minorHAnsi"/>
          <w:color w:val="000000"/>
          <w:szCs w:val="24"/>
          <w:lang w:eastAsia="zh-CN"/>
        </w:rPr>
      </w:pPr>
      <w:r w:rsidRPr="00CF19A9">
        <w:rPr>
          <w:rFonts w:cstheme="minorHAnsi"/>
          <w:color w:val="000000"/>
          <w:szCs w:val="24"/>
          <w:lang w:eastAsia="zh-CN"/>
        </w:rPr>
        <w:t xml:space="preserve"> </w:t>
      </w:r>
    </w:p>
    <w:sectPr w:rsidR="00CF19A9" w:rsidRPr="00CF19A9" w:rsidSect="00914AFC">
      <w:headerReference w:type="default" r:id="rId17"/>
      <w:footerReference w:type="default" r:id="rId18"/>
      <w:footerReference w:type="first" r:id="rId19"/>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A53D" w14:textId="77777777" w:rsidR="009E08A0" w:rsidRDefault="009E08A0">
      <w:r>
        <w:separator/>
      </w:r>
    </w:p>
  </w:endnote>
  <w:endnote w:type="continuationSeparator" w:id="0">
    <w:p w14:paraId="2857622D" w14:textId="77777777" w:rsidR="009E08A0" w:rsidRDefault="009E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92D9" w14:textId="7FD15648" w:rsidR="004915E8" w:rsidRPr="00AC1BC4" w:rsidRDefault="006136D6" w:rsidP="00AA1F8D">
    <w:pPr>
      <w:pStyle w:val="Footer"/>
      <w:rPr>
        <w:caps w:val="0"/>
        <w:sz w:val="18"/>
        <w:szCs w:val="18"/>
      </w:rPr>
    </w:pPr>
    <w:r w:rsidRPr="00AC1BC4">
      <w:rPr>
        <w:caps w:val="0"/>
        <w:sz w:val="18"/>
        <w:szCs w:val="18"/>
        <w:lang w:val="fr-FR"/>
      </w:rPr>
      <w:fldChar w:fldCharType="begin"/>
    </w:r>
    <w:r w:rsidRPr="00AC1BC4">
      <w:rPr>
        <w:caps w:val="0"/>
        <w:sz w:val="18"/>
        <w:szCs w:val="18"/>
      </w:rPr>
      <w:instrText xml:space="preserve"> FILENAME \p \* MERGEFORMAT </w:instrText>
    </w:r>
    <w:r w:rsidRPr="00AC1BC4">
      <w:rPr>
        <w:caps w:val="0"/>
        <w:sz w:val="18"/>
        <w:szCs w:val="18"/>
        <w:lang w:val="fr-FR"/>
      </w:rPr>
      <w:fldChar w:fldCharType="separate"/>
    </w:r>
    <w:r w:rsidR="00FC03EE">
      <w:rPr>
        <w:caps w:val="0"/>
        <w:sz w:val="18"/>
        <w:szCs w:val="18"/>
      </w:rPr>
      <w:t>P:\STG\7StudyPeriod\2020\RGQ1\Contributions\386E.docx</w:t>
    </w:r>
    <w:r w:rsidRPr="00AC1BC4">
      <w:rPr>
        <w:caps w:val="0"/>
        <w:sz w:val="18"/>
        <w:szCs w:val="18"/>
      </w:rPr>
      <w:fldChar w:fldCharType="end"/>
    </w:r>
    <w:r w:rsidR="007311F1">
      <w:rPr>
        <w:caps w:val="0"/>
        <w:sz w:val="18"/>
        <w:szCs w:val="18"/>
      </w:rPr>
      <w:tab/>
    </w:r>
    <w:r w:rsidR="004915E8" w:rsidRPr="00AC1BC4">
      <w:rPr>
        <w:caps w:val="0"/>
        <w:sz w:val="18"/>
        <w:szCs w:val="18"/>
      </w:rPr>
      <w:tab/>
    </w:r>
    <w:r w:rsidR="00FC03EE">
      <w:rPr>
        <w:caps w:val="0"/>
        <w:sz w:val="18"/>
        <w:szCs w:val="18"/>
      </w:rPr>
      <w:t>08.09.2020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061"/>
    </w:tblGrid>
    <w:tr w:rsidR="00FC03EE" w:rsidRPr="00C100BE" w14:paraId="44BF2866" w14:textId="77777777" w:rsidTr="00FC03EE">
      <w:tc>
        <w:tcPr>
          <w:tcW w:w="1526" w:type="dxa"/>
          <w:tcBorders>
            <w:top w:val="single" w:sz="4" w:space="0" w:color="000000" w:themeColor="text1"/>
          </w:tcBorders>
        </w:tcPr>
        <w:p w14:paraId="06BDABFD" w14:textId="77777777" w:rsidR="00FC03EE" w:rsidRPr="00C100BE" w:rsidRDefault="00FC03EE" w:rsidP="00FC03EE">
          <w:pPr>
            <w:pStyle w:val="FirstFooter"/>
            <w:tabs>
              <w:tab w:val="left" w:pos="1559"/>
              <w:tab w:val="left" w:pos="3828"/>
            </w:tabs>
            <w:rPr>
              <w:sz w:val="18"/>
              <w:szCs w:val="18"/>
            </w:rPr>
          </w:pPr>
          <w:r w:rsidRPr="00C100BE">
            <w:rPr>
              <w:sz w:val="18"/>
              <w:szCs w:val="18"/>
            </w:rPr>
            <w:t>Contact:</w:t>
          </w:r>
        </w:p>
      </w:tc>
      <w:tc>
        <w:tcPr>
          <w:tcW w:w="2268" w:type="dxa"/>
          <w:tcBorders>
            <w:top w:val="single" w:sz="4" w:space="0" w:color="000000" w:themeColor="text1"/>
          </w:tcBorders>
        </w:tcPr>
        <w:p w14:paraId="357BB39F" w14:textId="77777777" w:rsidR="00FC03EE" w:rsidRPr="00C100BE" w:rsidRDefault="00FC03EE" w:rsidP="00FC03EE">
          <w:pPr>
            <w:pStyle w:val="FirstFooter"/>
            <w:ind w:left="2160" w:hanging="2160"/>
            <w:rPr>
              <w:sz w:val="18"/>
              <w:szCs w:val="18"/>
            </w:rPr>
          </w:pPr>
          <w:r>
            <w:rPr>
              <w:sz w:val="18"/>
              <w:szCs w:val="18"/>
            </w:rPr>
            <w:t>Name/Organization/Entity</w:t>
          </w:r>
          <w:r w:rsidRPr="00C100BE">
            <w:rPr>
              <w:sz w:val="18"/>
              <w:szCs w:val="18"/>
              <w:lang w:val="fr-CH"/>
            </w:rPr>
            <w:t>:</w:t>
          </w:r>
        </w:p>
      </w:tc>
      <w:tc>
        <w:tcPr>
          <w:tcW w:w="6061" w:type="dxa"/>
          <w:tcBorders>
            <w:top w:val="single" w:sz="4" w:space="0" w:color="000000" w:themeColor="text1"/>
          </w:tcBorders>
        </w:tcPr>
        <w:p w14:paraId="0C8B1B3C" w14:textId="3A48B0BF" w:rsidR="00FC03EE" w:rsidRDefault="00FC03EE" w:rsidP="00FC03EE">
          <w:pPr>
            <w:pStyle w:val="FirstFooter"/>
            <w:rPr>
              <w:sz w:val="18"/>
              <w:szCs w:val="18"/>
            </w:rPr>
          </w:pPr>
          <w:proofErr w:type="spellStart"/>
          <w:r>
            <w:rPr>
              <w:sz w:val="18"/>
              <w:szCs w:val="18"/>
            </w:rPr>
            <w:t>Mr</w:t>
          </w:r>
          <w:proofErr w:type="spellEnd"/>
          <w:r>
            <w:rPr>
              <w:sz w:val="18"/>
              <w:szCs w:val="18"/>
            </w:rPr>
            <w:t xml:space="preserve"> Carlos Rey-Moreno, Association for Progressive Communications (APC), South Africa</w:t>
          </w:r>
        </w:p>
      </w:tc>
      <w:bookmarkStart w:id="13" w:name="OrgName"/>
      <w:bookmarkEnd w:id="13"/>
    </w:tr>
    <w:tr w:rsidR="00FC03EE" w:rsidRPr="00C100BE" w14:paraId="70F1CB95" w14:textId="77777777" w:rsidTr="00FC03EE">
      <w:tc>
        <w:tcPr>
          <w:tcW w:w="1526" w:type="dxa"/>
        </w:tcPr>
        <w:p w14:paraId="747D99CF" w14:textId="77777777" w:rsidR="00FC03EE" w:rsidRPr="00C100BE" w:rsidRDefault="00FC03EE" w:rsidP="00FC03EE">
          <w:pPr>
            <w:pStyle w:val="FirstFooter"/>
            <w:tabs>
              <w:tab w:val="left" w:pos="1559"/>
              <w:tab w:val="left" w:pos="3828"/>
            </w:tabs>
            <w:rPr>
              <w:sz w:val="20"/>
            </w:rPr>
          </w:pPr>
        </w:p>
      </w:tc>
      <w:tc>
        <w:tcPr>
          <w:tcW w:w="2268" w:type="dxa"/>
        </w:tcPr>
        <w:p w14:paraId="1182825A" w14:textId="77777777" w:rsidR="00FC03EE" w:rsidRPr="00C100BE" w:rsidRDefault="00FC03EE" w:rsidP="00FC03EE">
          <w:pPr>
            <w:pStyle w:val="FirstFooter"/>
            <w:ind w:left="2160" w:hanging="2160"/>
            <w:rPr>
              <w:sz w:val="18"/>
              <w:szCs w:val="18"/>
            </w:rPr>
          </w:pPr>
          <w:r w:rsidRPr="00CB110F">
            <w:rPr>
              <w:sz w:val="18"/>
              <w:szCs w:val="18"/>
            </w:rPr>
            <w:t>Phone number</w:t>
          </w:r>
          <w:r w:rsidRPr="00C100BE">
            <w:rPr>
              <w:sz w:val="18"/>
              <w:szCs w:val="18"/>
              <w:lang w:val="fr-CH"/>
            </w:rPr>
            <w:t>:</w:t>
          </w:r>
        </w:p>
      </w:tc>
      <w:tc>
        <w:tcPr>
          <w:tcW w:w="6061" w:type="dxa"/>
        </w:tcPr>
        <w:p w14:paraId="5DB8D454" w14:textId="11B15FCA" w:rsidR="00FC03EE" w:rsidRDefault="00FC03EE" w:rsidP="00FC03EE">
          <w:pPr>
            <w:pStyle w:val="FirstFooter"/>
            <w:rPr>
              <w:sz w:val="18"/>
              <w:szCs w:val="18"/>
            </w:rPr>
          </w:pPr>
          <w:r>
            <w:rPr>
              <w:sz w:val="18"/>
              <w:szCs w:val="18"/>
            </w:rPr>
            <w:t>+271 1726 1692</w:t>
          </w:r>
        </w:p>
      </w:tc>
      <w:bookmarkStart w:id="14" w:name="PhoneNo"/>
      <w:bookmarkEnd w:id="14"/>
    </w:tr>
    <w:tr w:rsidR="00FC03EE" w:rsidRPr="00CB110F" w14:paraId="7498CA6D" w14:textId="77777777" w:rsidTr="00FC03EE">
      <w:tc>
        <w:tcPr>
          <w:tcW w:w="1526" w:type="dxa"/>
        </w:tcPr>
        <w:p w14:paraId="071BFA4F" w14:textId="77777777" w:rsidR="00FC03EE" w:rsidRPr="00C100BE" w:rsidRDefault="00FC03EE" w:rsidP="00FC03EE">
          <w:pPr>
            <w:pStyle w:val="FirstFooter"/>
            <w:tabs>
              <w:tab w:val="left" w:pos="1559"/>
              <w:tab w:val="left" w:pos="3828"/>
            </w:tabs>
            <w:rPr>
              <w:sz w:val="20"/>
            </w:rPr>
          </w:pPr>
        </w:p>
      </w:tc>
      <w:tc>
        <w:tcPr>
          <w:tcW w:w="2268" w:type="dxa"/>
        </w:tcPr>
        <w:p w14:paraId="575E60D2" w14:textId="77777777" w:rsidR="00FC03EE" w:rsidRPr="00CB110F" w:rsidRDefault="00FC03EE" w:rsidP="00FC03EE">
          <w:pPr>
            <w:pStyle w:val="FirstFooter"/>
            <w:tabs>
              <w:tab w:val="left" w:pos="2302"/>
            </w:tabs>
            <w:rPr>
              <w:sz w:val="18"/>
              <w:szCs w:val="18"/>
            </w:rPr>
          </w:pPr>
          <w:r w:rsidRPr="00CB110F">
            <w:rPr>
              <w:sz w:val="18"/>
              <w:szCs w:val="18"/>
            </w:rPr>
            <w:t>E-mail:</w:t>
          </w:r>
        </w:p>
      </w:tc>
      <w:tc>
        <w:tcPr>
          <w:tcW w:w="6061" w:type="dxa"/>
        </w:tcPr>
        <w:p w14:paraId="74ED46F0" w14:textId="5CB47809" w:rsidR="00FC03EE" w:rsidRDefault="004B1671" w:rsidP="00FC03EE">
          <w:pPr>
            <w:pStyle w:val="FirstFooter"/>
            <w:rPr>
              <w:sz w:val="18"/>
              <w:szCs w:val="18"/>
            </w:rPr>
          </w:pPr>
          <w:hyperlink r:id="rId1" w:history="1">
            <w:r w:rsidR="00FC03EE" w:rsidRPr="00F30C91">
              <w:rPr>
                <w:rStyle w:val="Hyperlink"/>
                <w:sz w:val="18"/>
                <w:szCs w:val="18"/>
              </w:rPr>
              <w:t>itu@apc.org</w:t>
            </w:r>
          </w:hyperlink>
          <w:r w:rsidR="00FC03EE">
            <w:rPr>
              <w:sz w:val="18"/>
              <w:szCs w:val="18"/>
            </w:rPr>
            <w:t xml:space="preserve"> </w:t>
          </w:r>
        </w:p>
      </w:tc>
      <w:bookmarkStart w:id="15" w:name="Email"/>
      <w:bookmarkEnd w:id="15"/>
    </w:tr>
  </w:tbl>
  <w:p w14:paraId="249A9D0D" w14:textId="77777777" w:rsidR="00CA5220" w:rsidRPr="00410D3C" w:rsidRDefault="00CA5220" w:rsidP="0041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BE19" w14:textId="77777777" w:rsidR="009E08A0" w:rsidRDefault="009E08A0">
      <w:r>
        <w:t>____________________</w:t>
      </w:r>
    </w:p>
  </w:footnote>
  <w:footnote w:type="continuationSeparator" w:id="0">
    <w:p w14:paraId="1A32619F" w14:textId="77777777" w:rsidR="009E08A0" w:rsidRDefault="009E08A0">
      <w:r>
        <w:continuationSeparator/>
      </w:r>
    </w:p>
  </w:footnote>
  <w:footnote w:id="1">
    <w:p w14:paraId="3BA833D7" w14:textId="7A53A38A" w:rsidR="000A2532" w:rsidRDefault="000A2532" w:rsidP="000A2532">
      <w:pPr>
        <w:pStyle w:val="Default"/>
      </w:pPr>
      <w:r>
        <w:rPr>
          <w:rStyle w:val="FootnoteReference"/>
        </w:rPr>
        <w:footnoteRef/>
      </w:r>
      <w:r>
        <w:t xml:space="preserve"> </w:t>
      </w:r>
      <w:r w:rsidRPr="00CF19A9">
        <w:rPr>
          <w:rFonts w:ascii="Calibri" w:hAnsi="Calibri" w:cs="Calibri"/>
          <w:sz w:val="18"/>
          <w:szCs w:val="18"/>
        </w:rPr>
        <w:t xml:space="preserve">An online platform established by </w:t>
      </w:r>
      <w:r w:rsidR="00CF19A9" w:rsidRPr="00CF19A9">
        <w:rPr>
          <w:rFonts w:ascii="Calibri" w:hAnsi="Calibri" w:cs="Calibri"/>
          <w:sz w:val="18"/>
          <w:szCs w:val="18"/>
        </w:rPr>
        <w:t>ITU</w:t>
      </w:r>
      <w:r w:rsidRPr="00CF19A9">
        <w:rPr>
          <w:rFonts w:ascii="Calibri" w:hAnsi="Calibri" w:cs="Calibri"/>
          <w:sz w:val="18"/>
          <w:szCs w:val="18"/>
        </w:rPr>
        <w:t xml:space="preserve"> for regulators, policy makers and other interested parties, to share and discuss their own initiatives to deal with the </w:t>
      </w:r>
      <w:proofErr w:type="gramStart"/>
      <w:r w:rsidRPr="00CF19A9">
        <w:rPr>
          <w:rFonts w:ascii="Calibri" w:hAnsi="Calibri" w:cs="Calibri"/>
          <w:sz w:val="18"/>
          <w:szCs w:val="18"/>
        </w:rPr>
        <w:t xml:space="preserve">outbreak </w:t>
      </w:r>
      <w:r w:rsidR="004B1671">
        <w:rPr>
          <w:rFonts w:ascii="Calibri" w:hAnsi="Calibri" w:cs="Calibri"/>
          <w:sz w:val="18"/>
          <w:szCs w:val="18"/>
        </w:rPr>
        <w:t>.</w:t>
      </w:r>
      <w:proofErr w:type="gramEnd"/>
      <w:r w:rsidR="004B1671">
        <w:rPr>
          <w:rFonts w:ascii="Calibri" w:hAnsi="Calibri" w:cs="Calibri"/>
          <w:sz w:val="18"/>
          <w:szCs w:val="18"/>
        </w:rPr>
        <w:t xml:space="preserve"> see </w:t>
      </w:r>
      <w:r w:rsidR="00CF19A9" w:rsidRPr="00CF19A9">
        <w:rPr>
          <w:rFonts w:ascii="Calibri" w:hAnsi="Calibri" w:cs="Calibri"/>
          <w:sz w:val="18"/>
          <w:szCs w:val="18"/>
        </w:rPr>
        <w:t>www.itu.int/net4/ITU-D/CDS/REG4COVID/</w:t>
      </w:r>
    </w:p>
  </w:footnote>
  <w:footnote w:id="2">
    <w:p w14:paraId="06BE5EEC" w14:textId="480EA74F" w:rsidR="00CF19A9" w:rsidRPr="00CF19A9" w:rsidRDefault="00CF19A9">
      <w:pPr>
        <w:pStyle w:val="FootnoteText"/>
        <w:rPr>
          <w:sz w:val="18"/>
          <w:szCs w:val="18"/>
        </w:rPr>
      </w:pPr>
      <w:r w:rsidRPr="00CF19A9">
        <w:rPr>
          <w:rStyle w:val="FootnoteReference"/>
          <w:szCs w:val="18"/>
        </w:rPr>
        <w:footnoteRef/>
      </w:r>
      <w:r w:rsidRPr="00CF19A9">
        <w:rPr>
          <w:sz w:val="18"/>
          <w:szCs w:val="18"/>
        </w:rPr>
        <w:t xml:space="preserve"> </w:t>
      </w:r>
      <w:r w:rsidRPr="00CF19A9">
        <w:rPr>
          <w:rFonts w:ascii="Calibri" w:hAnsi="Calibri" w:cs="Calibri"/>
          <w:color w:val="000000"/>
          <w:sz w:val="18"/>
          <w:szCs w:val="18"/>
          <w:lang w:eastAsia="zh-CN"/>
        </w:rPr>
        <w:t>www.itu.int/md/D18-SG01.RGQ-C-0254/en</w:t>
      </w:r>
    </w:p>
  </w:footnote>
  <w:footnote w:id="3">
    <w:p w14:paraId="7554FEDA" w14:textId="642531B4" w:rsidR="000156B7" w:rsidRDefault="000156B7">
      <w:pPr>
        <w:pStyle w:val="FootnoteText"/>
      </w:pPr>
      <w:r>
        <w:rPr>
          <w:rStyle w:val="FootnoteReference"/>
        </w:rPr>
        <w:footnoteRef/>
      </w:r>
      <w:r>
        <w:t xml:space="preserve"> </w:t>
      </w:r>
      <w:r w:rsidRPr="00CF19A9">
        <w:rPr>
          <w:rFonts w:ascii="Calibri" w:hAnsi="Calibri" w:cs="Calibri"/>
          <w:color w:val="000000"/>
          <w:sz w:val="18"/>
          <w:szCs w:val="18"/>
          <w:lang w:eastAsia="zh-CN"/>
        </w:rPr>
        <w:t>www.itu.int/net4/ITU-D/CDS/REG4COVID/</w:t>
      </w:r>
    </w:p>
  </w:footnote>
  <w:footnote w:id="4">
    <w:p w14:paraId="7E88291E" w14:textId="3F1F62AA" w:rsidR="000156B7" w:rsidRPr="000156B7" w:rsidRDefault="000156B7">
      <w:pPr>
        <w:pStyle w:val="FootnoteText"/>
        <w:rPr>
          <w:lang w:val="fr-FR"/>
        </w:rPr>
      </w:pPr>
      <w:r>
        <w:rPr>
          <w:rStyle w:val="FootnoteReference"/>
        </w:rPr>
        <w:footnoteRef/>
      </w:r>
      <w:r w:rsidRPr="000156B7">
        <w:rPr>
          <w:lang w:val="fr-FR"/>
        </w:rPr>
        <w:t xml:space="preserve"> </w:t>
      </w:r>
      <w:hyperlink r:id="rId1" w:history="1">
        <w:r w:rsidRPr="000156B7">
          <w:rPr>
            <w:rStyle w:val="Hyperlink"/>
            <w:sz w:val="18"/>
            <w:szCs w:val="18"/>
            <w:lang w:val="fr-FR"/>
          </w:rPr>
          <w:t>altermundi.net/2020/05/22/protocolo-acompanamiento-redes-comunitarias-en-aislamiento-social/</w:t>
        </w:r>
      </w:hyperlink>
    </w:p>
  </w:footnote>
  <w:footnote w:id="5">
    <w:p w14:paraId="4D7559D6" w14:textId="34F683FC" w:rsidR="000156B7" w:rsidRPr="000156B7" w:rsidRDefault="000156B7">
      <w:pPr>
        <w:pStyle w:val="FootnoteText"/>
        <w:rPr>
          <w:sz w:val="18"/>
          <w:szCs w:val="18"/>
        </w:rPr>
      </w:pPr>
      <w:r w:rsidRPr="000156B7">
        <w:rPr>
          <w:rStyle w:val="FootnoteReference"/>
          <w:szCs w:val="18"/>
        </w:rPr>
        <w:footnoteRef/>
      </w:r>
      <w:r w:rsidRPr="000156B7">
        <w:rPr>
          <w:sz w:val="18"/>
          <w:szCs w:val="18"/>
        </w:rPr>
        <w:t xml:space="preserve"> </w:t>
      </w:r>
      <w:r w:rsidRPr="000156B7">
        <w:rPr>
          <w:sz w:val="18"/>
          <w:szCs w:val="18"/>
        </w:rPr>
        <w:t>www.youtube.com/channel/UCfphwnMwIWuXkkXxHhUPtvQ</w:t>
      </w:r>
    </w:p>
  </w:footnote>
  <w:footnote w:id="6">
    <w:p w14:paraId="68473965" w14:textId="2537AC58" w:rsidR="000156B7" w:rsidRDefault="000156B7">
      <w:pPr>
        <w:pStyle w:val="FootnoteText"/>
      </w:pPr>
      <w:r>
        <w:rPr>
          <w:rStyle w:val="FootnoteReference"/>
        </w:rPr>
        <w:footnoteRef/>
      </w:r>
      <w:r>
        <w:t xml:space="preserve"> </w:t>
      </w:r>
      <w:hyperlink r:id="rId2" w:history="1">
        <w:r>
          <w:rPr>
            <w:rStyle w:val="Hyperlink"/>
            <w:sz w:val="18"/>
            <w:szCs w:val="18"/>
          </w:rPr>
          <w:t>z</w:t>
        </w:r>
        <w:r w:rsidRPr="00FD3008">
          <w:rPr>
            <w:rStyle w:val="Hyperlink"/>
            <w:sz w:val="18"/>
            <w:szCs w:val="18"/>
          </w:rPr>
          <w:t>enzeleni.net/noticeboard/</w:t>
        </w:r>
      </w:hyperlink>
    </w:p>
  </w:footnote>
  <w:footnote w:id="7">
    <w:p w14:paraId="3E99488D" w14:textId="2B2383E2" w:rsidR="000156B7" w:rsidRDefault="000156B7">
      <w:pPr>
        <w:pStyle w:val="FootnoteText"/>
      </w:pPr>
      <w:r>
        <w:rPr>
          <w:rStyle w:val="FootnoteReference"/>
        </w:rPr>
        <w:footnoteRef/>
      </w:r>
      <w:r>
        <w:t xml:space="preserve"> </w:t>
      </w:r>
      <w:hyperlink r:id="rId3" w:history="1">
        <w:r w:rsidRPr="00FD3008">
          <w:rPr>
            <w:rStyle w:val="Hyperlink"/>
            <w:sz w:val="18"/>
            <w:szCs w:val="18"/>
          </w:rPr>
          <w:t>w</w:t>
        </w:r>
        <w:r w:rsidRPr="00FD3008">
          <w:rPr>
            <w:rStyle w:val="Hyperlink"/>
            <w:sz w:val="18"/>
            <w:szCs w:val="18"/>
          </w:rPr>
          <w:t>w</w:t>
        </w:r>
        <w:r w:rsidRPr="00FD3008">
          <w:rPr>
            <w:rStyle w:val="Hyperlink"/>
            <w:sz w:val="18"/>
            <w:szCs w:val="18"/>
          </w:rPr>
          <w:t>w.apc.org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43DF" w14:textId="541F3B3C" w:rsidR="004915E8" w:rsidRPr="00FC03EE" w:rsidRDefault="00FC03EE" w:rsidP="00FC03EE">
    <w:pPr>
      <w:pStyle w:val="Header"/>
      <w:tabs>
        <w:tab w:val="center" w:pos="4820"/>
        <w:tab w:val="right" w:pos="9639"/>
      </w:tabs>
      <w:jc w:val="left"/>
      <w:rPr>
        <w:rFonts w:eastAsia="SimHei" w:cs="Simplified Arabic"/>
        <w:bCs/>
        <w:smallCaps/>
        <w:spacing w:val="24"/>
        <w:sz w:val="22"/>
        <w:szCs w:val="22"/>
        <w:lang w:val="es-ES" w:eastAsia="zh-CN"/>
      </w:rPr>
    </w:pPr>
    <w:r>
      <w:tab/>
    </w:r>
    <w:r>
      <w:rPr>
        <w:rFonts w:eastAsia="SimHei" w:cs="Simplified Arabic"/>
        <w:bCs/>
        <w:smallCaps/>
        <w:spacing w:val="24"/>
        <w:sz w:val="22"/>
        <w:szCs w:val="22"/>
        <w:lang w:val="es-ES" w:eastAsia="zh-CN"/>
      </w:rPr>
      <w:t>ITU-D/SG1RGQ/</w:t>
    </w:r>
    <w:r>
      <w:rPr>
        <w:rFonts w:cs="Simplified Arabic"/>
        <w:bCs/>
        <w:smallCaps/>
        <w:spacing w:val="24"/>
        <w:sz w:val="22"/>
        <w:szCs w:val="22"/>
        <w:lang w:val="es-ES" w:eastAsia="ja-JP"/>
      </w:rPr>
      <w:t>386</w:t>
    </w:r>
    <w:r>
      <w:rPr>
        <w:rFonts w:eastAsia="SimHei" w:cs="Simplified Arabic"/>
        <w:bCs/>
        <w:smallCaps/>
        <w:spacing w:val="24"/>
        <w:sz w:val="22"/>
        <w:szCs w:val="22"/>
        <w:lang w:val="es-ES" w:eastAsia="zh-CN"/>
      </w:rPr>
      <w:t>-E</w:t>
    </w:r>
    <w:r>
      <w:rPr>
        <w:sz w:val="24"/>
        <w:szCs w:val="24"/>
        <w:lang w:val="es-ES"/>
      </w:rPr>
      <w:tab/>
    </w:r>
    <w:r>
      <w:rPr>
        <w:rFonts w:eastAsia="SimHei" w:cs="Simplified Arabic"/>
        <w:bCs/>
        <w:smallCaps/>
        <w:spacing w:val="24"/>
        <w:sz w:val="22"/>
        <w:szCs w:val="22"/>
        <w:lang w:val="es-ES" w:eastAsia="zh-CN"/>
      </w:rPr>
      <w:t xml:space="preserve">Page </w:t>
    </w:r>
    <w:sdt>
      <w:sdtPr>
        <w:rPr>
          <w:rFonts w:eastAsia="SimHei" w:cs="Simplified Arabic"/>
          <w:bCs/>
          <w:smallCaps/>
          <w:spacing w:val="24"/>
          <w:sz w:val="22"/>
          <w:szCs w:val="22"/>
          <w:lang w:eastAsia="zh-CN"/>
        </w:rPr>
        <w:id w:val="-1289122661"/>
        <w:docPartObj>
          <w:docPartGallery w:val="Page Numbers (Top of Page)"/>
          <w:docPartUnique/>
        </w:docPartObj>
      </w:sdtPr>
      <w:sdtEndPr/>
      <w:sdtContent>
        <w:r>
          <w:rPr>
            <w:rFonts w:eastAsia="SimHei" w:cs="Simplified Arabic"/>
            <w:bCs/>
            <w:smallCaps/>
            <w:spacing w:val="24"/>
            <w:sz w:val="22"/>
            <w:szCs w:val="22"/>
            <w:lang w:eastAsia="zh-CN"/>
          </w:rPr>
          <w:fldChar w:fldCharType="begin"/>
        </w:r>
        <w:r>
          <w:rPr>
            <w:rFonts w:eastAsia="SimHei" w:cs="Simplified Arabic"/>
            <w:bCs/>
            <w:smallCaps/>
            <w:spacing w:val="24"/>
            <w:sz w:val="22"/>
            <w:szCs w:val="22"/>
            <w:lang w:val="es-ES" w:eastAsia="zh-CN"/>
          </w:rPr>
          <w:instrText xml:space="preserve"> PAGE   \* MERGEFORMAT </w:instrText>
        </w:r>
        <w:r>
          <w:rPr>
            <w:rFonts w:eastAsia="SimHei" w:cs="Simplified Arabic"/>
            <w:bCs/>
            <w:smallCaps/>
            <w:spacing w:val="24"/>
            <w:sz w:val="22"/>
            <w:szCs w:val="22"/>
            <w:lang w:eastAsia="zh-CN"/>
          </w:rPr>
          <w:fldChar w:fldCharType="separate"/>
        </w:r>
        <w:r>
          <w:rPr>
            <w:rFonts w:eastAsia="SimHei" w:cs="Simplified Arabic"/>
            <w:bCs/>
            <w:smallCaps/>
            <w:spacing w:val="24"/>
            <w:sz w:val="22"/>
            <w:szCs w:val="22"/>
            <w:lang w:eastAsia="zh-CN"/>
          </w:rPr>
          <w:t>2</w:t>
        </w:r>
        <w:r>
          <w:rPr>
            <w:rFonts w:eastAsia="SimHei" w:cs="Simplified Arabic"/>
            <w:bCs/>
            <w:smallCaps/>
            <w:spacing w:val="24"/>
            <w:sz w:val="22"/>
            <w:szCs w:val="22"/>
            <w:lang w:eastAsia="zh-CN"/>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F088B"/>
    <w:multiLevelType w:val="multilevel"/>
    <w:tmpl w:val="C644B9E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714E29"/>
    <w:multiLevelType w:val="hybridMultilevel"/>
    <w:tmpl w:val="5B72866C"/>
    <w:lvl w:ilvl="0" w:tplc="EDA8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F0737"/>
    <w:multiLevelType w:val="hybridMultilevel"/>
    <w:tmpl w:val="17D0EBB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A0"/>
    <w:rsid w:val="000067EB"/>
    <w:rsid w:val="00010F71"/>
    <w:rsid w:val="00014B38"/>
    <w:rsid w:val="000156B7"/>
    <w:rsid w:val="00034E34"/>
    <w:rsid w:val="00051E92"/>
    <w:rsid w:val="00053EF2"/>
    <w:rsid w:val="000559CC"/>
    <w:rsid w:val="00070E9D"/>
    <w:rsid w:val="000A2532"/>
    <w:rsid w:val="000C3DFC"/>
    <w:rsid w:val="000C50B1"/>
    <w:rsid w:val="000E2550"/>
    <w:rsid w:val="000E7659"/>
    <w:rsid w:val="0010289F"/>
    <w:rsid w:val="00104FBB"/>
    <w:rsid w:val="0010653D"/>
    <w:rsid w:val="00115CDB"/>
    <w:rsid w:val="00122AFC"/>
    <w:rsid w:val="00133BF6"/>
    <w:rsid w:val="00135DDB"/>
    <w:rsid w:val="00175DC3"/>
    <w:rsid w:val="00193BAB"/>
    <w:rsid w:val="00194FDD"/>
    <w:rsid w:val="001A5EE2"/>
    <w:rsid w:val="001E5AA3"/>
    <w:rsid w:val="001E6D58"/>
    <w:rsid w:val="001F0A41"/>
    <w:rsid w:val="00200C7F"/>
    <w:rsid w:val="00201540"/>
    <w:rsid w:val="00206EA6"/>
    <w:rsid w:val="00212DA6"/>
    <w:rsid w:val="0021388F"/>
    <w:rsid w:val="00231120"/>
    <w:rsid w:val="002451C0"/>
    <w:rsid w:val="002509A3"/>
    <w:rsid w:val="0026716A"/>
    <w:rsid w:val="00297118"/>
    <w:rsid w:val="002C0775"/>
    <w:rsid w:val="002C4401"/>
    <w:rsid w:val="002C53DC"/>
    <w:rsid w:val="002E1D00"/>
    <w:rsid w:val="002E2486"/>
    <w:rsid w:val="00327758"/>
    <w:rsid w:val="00342BE1"/>
    <w:rsid w:val="00354170"/>
    <w:rsid w:val="003707D1"/>
    <w:rsid w:val="00374E7A"/>
    <w:rsid w:val="00380220"/>
    <w:rsid w:val="003827F1"/>
    <w:rsid w:val="00384012"/>
    <w:rsid w:val="003A6539"/>
    <w:rsid w:val="003B7FB9"/>
    <w:rsid w:val="003C6022"/>
    <w:rsid w:val="003C6651"/>
    <w:rsid w:val="00400592"/>
    <w:rsid w:val="00403E92"/>
    <w:rsid w:val="00410D3C"/>
    <w:rsid w:val="00412771"/>
    <w:rsid w:val="0042188E"/>
    <w:rsid w:val="00443670"/>
    <w:rsid w:val="004446A6"/>
    <w:rsid w:val="00447F04"/>
    <w:rsid w:val="004523C1"/>
    <w:rsid w:val="00452BAB"/>
    <w:rsid w:val="0048151B"/>
    <w:rsid w:val="004839BA"/>
    <w:rsid w:val="004915E8"/>
    <w:rsid w:val="004B1671"/>
    <w:rsid w:val="004B6398"/>
    <w:rsid w:val="004C4C20"/>
    <w:rsid w:val="004C60F5"/>
    <w:rsid w:val="004D1F51"/>
    <w:rsid w:val="004E31C8"/>
    <w:rsid w:val="00500664"/>
    <w:rsid w:val="00500F1D"/>
    <w:rsid w:val="00502456"/>
    <w:rsid w:val="005063A3"/>
    <w:rsid w:val="00512583"/>
    <w:rsid w:val="0051261A"/>
    <w:rsid w:val="005161E7"/>
    <w:rsid w:val="00517937"/>
    <w:rsid w:val="005340B1"/>
    <w:rsid w:val="005445AD"/>
    <w:rsid w:val="00556F9C"/>
    <w:rsid w:val="0056621F"/>
    <w:rsid w:val="00572685"/>
    <w:rsid w:val="005860FF"/>
    <w:rsid w:val="00586DCD"/>
    <w:rsid w:val="005A0607"/>
    <w:rsid w:val="005B21A2"/>
    <w:rsid w:val="005B5E2D"/>
    <w:rsid w:val="005D30D5"/>
    <w:rsid w:val="005D314F"/>
    <w:rsid w:val="005E4C00"/>
    <w:rsid w:val="005F0CD9"/>
    <w:rsid w:val="005F19AC"/>
    <w:rsid w:val="0060044C"/>
    <w:rsid w:val="00602668"/>
    <w:rsid w:val="006065DE"/>
    <w:rsid w:val="006126E9"/>
    <w:rsid w:val="00612E3B"/>
    <w:rsid w:val="006136D6"/>
    <w:rsid w:val="006153D3"/>
    <w:rsid w:val="00615927"/>
    <w:rsid w:val="00620CA2"/>
    <w:rsid w:val="00645115"/>
    <w:rsid w:val="00663A56"/>
    <w:rsid w:val="00680B7C"/>
    <w:rsid w:val="00683278"/>
    <w:rsid w:val="00695438"/>
    <w:rsid w:val="006A23C2"/>
    <w:rsid w:val="006E5096"/>
    <w:rsid w:val="006F11AA"/>
    <w:rsid w:val="006F2CB3"/>
    <w:rsid w:val="007002B2"/>
    <w:rsid w:val="007109F8"/>
    <w:rsid w:val="00726ADF"/>
    <w:rsid w:val="007311F1"/>
    <w:rsid w:val="007547E3"/>
    <w:rsid w:val="00772137"/>
    <w:rsid w:val="00783838"/>
    <w:rsid w:val="00783F33"/>
    <w:rsid w:val="007879E8"/>
    <w:rsid w:val="00790A74"/>
    <w:rsid w:val="00794165"/>
    <w:rsid w:val="007C09B2"/>
    <w:rsid w:val="007F2F8E"/>
    <w:rsid w:val="007F5ACF"/>
    <w:rsid w:val="0081758D"/>
    <w:rsid w:val="00821623"/>
    <w:rsid w:val="00821978"/>
    <w:rsid w:val="00824420"/>
    <w:rsid w:val="008471EF"/>
    <w:rsid w:val="008506F4"/>
    <w:rsid w:val="008536E7"/>
    <w:rsid w:val="00854BC3"/>
    <w:rsid w:val="00854FE5"/>
    <w:rsid w:val="0085731E"/>
    <w:rsid w:val="0089404E"/>
    <w:rsid w:val="008C7600"/>
    <w:rsid w:val="008D41FF"/>
    <w:rsid w:val="008E63F7"/>
    <w:rsid w:val="008E7B6B"/>
    <w:rsid w:val="00903C75"/>
    <w:rsid w:val="0090522B"/>
    <w:rsid w:val="00914AFC"/>
    <w:rsid w:val="00915C5F"/>
    <w:rsid w:val="00937422"/>
    <w:rsid w:val="00950E3C"/>
    <w:rsid w:val="00967BAA"/>
    <w:rsid w:val="00967D26"/>
    <w:rsid w:val="00972F2F"/>
    <w:rsid w:val="009A4D09"/>
    <w:rsid w:val="009B2C12"/>
    <w:rsid w:val="009B4C86"/>
    <w:rsid w:val="009B75F6"/>
    <w:rsid w:val="009E08A0"/>
    <w:rsid w:val="009E4FA5"/>
    <w:rsid w:val="009E50E9"/>
    <w:rsid w:val="009F65FE"/>
    <w:rsid w:val="00A14C77"/>
    <w:rsid w:val="00A15410"/>
    <w:rsid w:val="00A2458F"/>
    <w:rsid w:val="00A248DD"/>
    <w:rsid w:val="00A454A7"/>
    <w:rsid w:val="00A5304F"/>
    <w:rsid w:val="00A547B7"/>
    <w:rsid w:val="00A737BC"/>
    <w:rsid w:val="00A90394"/>
    <w:rsid w:val="00A91720"/>
    <w:rsid w:val="00A91D61"/>
    <w:rsid w:val="00A944FF"/>
    <w:rsid w:val="00A94B33"/>
    <w:rsid w:val="00A960CF"/>
    <w:rsid w:val="00A961F4"/>
    <w:rsid w:val="00A964CA"/>
    <w:rsid w:val="00AA1F8D"/>
    <w:rsid w:val="00AC1BC4"/>
    <w:rsid w:val="00AD7EE5"/>
    <w:rsid w:val="00B051CC"/>
    <w:rsid w:val="00B27694"/>
    <w:rsid w:val="00B35807"/>
    <w:rsid w:val="00B518D0"/>
    <w:rsid w:val="00B535D0"/>
    <w:rsid w:val="00B670DD"/>
    <w:rsid w:val="00B83148"/>
    <w:rsid w:val="00B84654"/>
    <w:rsid w:val="00B91403"/>
    <w:rsid w:val="00B922EE"/>
    <w:rsid w:val="00BB1859"/>
    <w:rsid w:val="00BB5BA7"/>
    <w:rsid w:val="00BC00BE"/>
    <w:rsid w:val="00BC044F"/>
    <w:rsid w:val="00BC3079"/>
    <w:rsid w:val="00BC3CB1"/>
    <w:rsid w:val="00BD227D"/>
    <w:rsid w:val="00BD22E4"/>
    <w:rsid w:val="00BE35FC"/>
    <w:rsid w:val="00BE524D"/>
    <w:rsid w:val="00BF4F74"/>
    <w:rsid w:val="00BF66CB"/>
    <w:rsid w:val="00C100BE"/>
    <w:rsid w:val="00C11F0F"/>
    <w:rsid w:val="00C27DE2"/>
    <w:rsid w:val="00C30AF4"/>
    <w:rsid w:val="00C31ECE"/>
    <w:rsid w:val="00C7163B"/>
    <w:rsid w:val="00C80F54"/>
    <w:rsid w:val="00C87D42"/>
    <w:rsid w:val="00CA349A"/>
    <w:rsid w:val="00CA3B73"/>
    <w:rsid w:val="00CA5220"/>
    <w:rsid w:val="00CC43E5"/>
    <w:rsid w:val="00CD587D"/>
    <w:rsid w:val="00CE3EE0"/>
    <w:rsid w:val="00CF19A9"/>
    <w:rsid w:val="00D27257"/>
    <w:rsid w:val="00D27E66"/>
    <w:rsid w:val="00D51049"/>
    <w:rsid w:val="00D538F2"/>
    <w:rsid w:val="00D60446"/>
    <w:rsid w:val="00D63778"/>
    <w:rsid w:val="00D72C57"/>
    <w:rsid w:val="00DB091C"/>
    <w:rsid w:val="00DB54F3"/>
    <w:rsid w:val="00DD03E0"/>
    <w:rsid w:val="00DD16B5"/>
    <w:rsid w:val="00DF6743"/>
    <w:rsid w:val="00E05F34"/>
    <w:rsid w:val="00E15468"/>
    <w:rsid w:val="00E17A68"/>
    <w:rsid w:val="00E17F9F"/>
    <w:rsid w:val="00E23F4B"/>
    <w:rsid w:val="00E27278"/>
    <w:rsid w:val="00E50A67"/>
    <w:rsid w:val="00E54997"/>
    <w:rsid w:val="00E930C4"/>
    <w:rsid w:val="00E946F4"/>
    <w:rsid w:val="00EB44F8"/>
    <w:rsid w:val="00EB68B5"/>
    <w:rsid w:val="00EC7377"/>
    <w:rsid w:val="00ED1437"/>
    <w:rsid w:val="00EE2FC9"/>
    <w:rsid w:val="00EF30AD"/>
    <w:rsid w:val="00F124D0"/>
    <w:rsid w:val="00F178D9"/>
    <w:rsid w:val="00F23175"/>
    <w:rsid w:val="00F32C61"/>
    <w:rsid w:val="00F42ADD"/>
    <w:rsid w:val="00F604E9"/>
    <w:rsid w:val="00F77469"/>
    <w:rsid w:val="00F8243C"/>
    <w:rsid w:val="00F8726A"/>
    <w:rsid w:val="00F930D2"/>
    <w:rsid w:val="00F9636C"/>
    <w:rsid w:val="00FA02C3"/>
    <w:rsid w:val="00FB4F37"/>
    <w:rsid w:val="00FB4F93"/>
    <w:rsid w:val="00FB5291"/>
    <w:rsid w:val="00FC03EE"/>
    <w:rsid w:val="00FC6870"/>
    <w:rsid w:val="00FD2CA6"/>
    <w:rsid w:val="00FD70EF"/>
    <w:rsid w:val="00FF43C0"/>
    <w:rsid w:val="00FF74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421BD"/>
  <w15:docId w15:val="{A344CFA5-1D2B-4C2A-AC44-76762580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4F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eastAsia="en-US"/>
    </w:rPr>
  </w:style>
  <w:style w:type="paragraph" w:styleId="Heading1">
    <w:name w:val="heading 1"/>
    <w:basedOn w:val="Normal"/>
    <w:next w:val="Normal"/>
    <w:uiPriority w:val="9"/>
    <w:qFormat/>
    <w:rsid w:val="006F2CB3"/>
    <w:pPr>
      <w:keepNext/>
      <w:keepLines/>
      <w:spacing w:before="280"/>
      <w:ind w:left="794" w:hanging="794"/>
      <w:outlineLvl w:val="0"/>
    </w:pPr>
    <w:rPr>
      <w:b/>
      <w:sz w:val="28"/>
    </w:rPr>
  </w:style>
  <w:style w:type="paragraph" w:styleId="Heading2">
    <w:name w:val="heading 2"/>
    <w:basedOn w:val="Heading1"/>
    <w:next w:val="Normal"/>
    <w:uiPriority w:val="9"/>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header odd,header entry,HE,页眉"/>
    <w:basedOn w:val="Normal"/>
    <w:link w:val="HeaderChar"/>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A944FF"/>
    <w:pPr>
      <w:spacing w:after="100" w:afterAutospacing="1"/>
    </w:pPr>
    <w:rPr>
      <w:b/>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F2CB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F2CB3"/>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uiPriority w:val="59"/>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aliases w:val="h Char,Header/Footer Char,header odd Char,header entry Char,HE Char,页眉 Char"/>
    <w:basedOn w:val="DefaultParagraphFont"/>
    <w:link w:val="Header"/>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aliases w:val="CEO_Hyperlink,超级链接,超?级链,Style 58,超????,하이퍼링크2,超链接1,超?级链?,Style?,S"/>
    <w:basedOn w:val="DefaultParagraphFont"/>
    <w:uiPriority w:val="99"/>
    <w:qFormat/>
    <w:rsid w:val="000C3DFC"/>
    <w:rPr>
      <w:color w:val="0000FF" w:themeColor="hyperlink"/>
      <w:u w:val="single"/>
    </w:rPr>
  </w:style>
  <w:style w:type="paragraph" w:styleId="ListParagraph">
    <w:name w:val="List Paragraph"/>
    <w:basedOn w:val="Normal"/>
    <w:uiPriority w:val="34"/>
    <w:qFormat/>
    <w:rsid w:val="00FC03EE"/>
    <w:pPr>
      <w:ind w:left="720"/>
      <w:contextualSpacing/>
    </w:pPr>
  </w:style>
  <w:style w:type="paragraph" w:styleId="BalloonText">
    <w:name w:val="Balloon Text"/>
    <w:basedOn w:val="Normal"/>
    <w:link w:val="BalloonTextChar"/>
    <w:semiHidden/>
    <w:unhideWhenUsed/>
    <w:rsid w:val="00C87D4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87D42"/>
    <w:rPr>
      <w:rFonts w:ascii="Segoe UI" w:hAnsi="Segoe UI" w:cs="Segoe UI"/>
      <w:sz w:val="18"/>
      <w:szCs w:val="18"/>
      <w:lang w:eastAsia="en-US"/>
    </w:rPr>
  </w:style>
  <w:style w:type="paragraph" w:customStyle="1" w:styleId="Default">
    <w:name w:val="Default"/>
    <w:rsid w:val="000A2532"/>
    <w:pPr>
      <w:autoSpaceDE w:val="0"/>
      <w:autoSpaceDN w:val="0"/>
      <w:adjustRightInd w:val="0"/>
    </w:pPr>
    <w:rPr>
      <w:rFonts w:ascii="Times New Roman" w:hAnsi="Times New Roman"/>
      <w:color w:val="000000"/>
      <w:sz w:val="24"/>
      <w:szCs w:val="24"/>
    </w:rPr>
  </w:style>
  <w:style w:type="character" w:customStyle="1" w:styleId="InternetLink">
    <w:name w:val="Internet Link"/>
    <w:rsid w:val="00CF19A9"/>
    <w:rPr>
      <w:color w:val="000080"/>
      <w:u w:val="single"/>
    </w:rPr>
  </w:style>
  <w:style w:type="character" w:customStyle="1" w:styleId="FootnoteCharacters">
    <w:name w:val="Footnote Characters"/>
    <w:qFormat/>
    <w:rsid w:val="00CF19A9"/>
  </w:style>
  <w:style w:type="character" w:customStyle="1" w:styleId="FootnoteAnchor">
    <w:name w:val="Footnote Anchor"/>
    <w:rsid w:val="00CF19A9"/>
    <w:rPr>
      <w:vertAlign w:val="superscript"/>
    </w:rPr>
  </w:style>
  <w:style w:type="paragraph" w:customStyle="1" w:styleId="LO-Normal">
    <w:name w:val="LO-Normal"/>
    <w:qFormat/>
    <w:rsid w:val="00CF19A9"/>
    <w:pPr>
      <w:suppressAutoHyphens/>
      <w:textAlignment w:val="baseline"/>
    </w:pPr>
    <w:rPr>
      <w:rFonts w:ascii="Calibri" w:eastAsia="Calibri" w:hAnsi="Calibri"/>
      <w:sz w:val="24"/>
      <w:szCs w:val="24"/>
      <w:lang w:val="en-CA" w:eastAsia="en-US"/>
    </w:rPr>
  </w:style>
  <w:style w:type="character" w:styleId="UnresolvedMention">
    <w:name w:val="Unresolved Mention"/>
    <w:basedOn w:val="DefaultParagraphFont"/>
    <w:uiPriority w:val="99"/>
    <w:semiHidden/>
    <w:unhideWhenUsed/>
    <w:rsid w:val="0001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net4/ITU-D/CDS/REG4COVID/Display.asp?ID=542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net4/ITU-D/CDS/REG4COVID/Display.asp?ID=542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net4/ITU-D/CDS/REG4COVID/Display.asp?ID=542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4/ITU-D/CDS/REG4COVID/Display.asp?ID=54270" TargetMode="External"/><Relationship Id="rId5" Type="http://schemas.openxmlformats.org/officeDocument/2006/relationships/webSettings" Target="webSettings.xml"/><Relationship Id="rId15" Type="http://schemas.openxmlformats.org/officeDocument/2006/relationships/hyperlink" Target="https://www.itu.int/net4/ITU-D/CDS/REG4COVID/Display.asp?ID=54270" TargetMode="External"/><Relationship Id="rId10" Type="http://schemas.openxmlformats.org/officeDocument/2006/relationships/hyperlink" Target="https://www.itu.int/net4/ITU-D/CDS/REG4COVID/Display.asp?ID=542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net4/ITU-D/CDS/REG4COVID/Display.asp?ID=54270" TargetMode="External"/><Relationship Id="rId14" Type="http://schemas.openxmlformats.org/officeDocument/2006/relationships/hyperlink" Target="https://www.itu.int/net4/ITU-D/CDS/REG4COVID/Display.asp?ID=5427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u@ap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c.org" TargetMode="External"/><Relationship Id="rId2" Type="http://schemas.openxmlformats.org/officeDocument/2006/relationships/hyperlink" Target="https://zenzeleni.net/noticeboard/" TargetMode="External"/><Relationship Id="rId1" Type="http://schemas.openxmlformats.org/officeDocument/2006/relationships/hyperlink" Target="https://altermundi.net/2020/05/22/protocolo-acompanamiento-redes-comunitarias-en-aislamiento-soc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TG\7StudyPeriod\2020\RGQ1\Templates\STG-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E0F5-8411-4ACE-9374-FA1C2DD4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STG-en.dotm</Template>
  <TotalTime>27</TotalTime>
  <Pages>5</Pages>
  <Words>2099</Words>
  <Characters>13221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BDT-nd</dc:creator>
  <cp:lastModifiedBy>Awotar-Mauree, Rosheen</cp:lastModifiedBy>
  <cp:revision>3</cp:revision>
  <cp:lastPrinted>2006-02-14T19:11:00Z</cp:lastPrinted>
  <dcterms:created xsi:type="dcterms:W3CDTF">2020-09-11T09:54:00Z</dcterms:created>
  <dcterms:modified xsi:type="dcterms:W3CDTF">2020-09-11T10:22:00Z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1/1-F</vt:lpwstr>
  </property>
  <property fmtid="{D5CDD505-2E9C-101B-9397-08002B2CF9AE}" pid="3" name="Docdate">
    <vt:lpwstr>[Date]</vt:lpwstr>
  </property>
  <property fmtid="{D5CDD505-2E9C-101B-9397-08002B2CF9AE}" pid="4" name="Docorlang">
    <vt:lpwstr>Original: [X]</vt:lpwstr>
  </property>
  <property fmtid="{D5CDD505-2E9C-101B-9397-08002B2CF9AE}" pid="5" name="Docdest">
    <vt:lpwstr/>
  </property>
  <property fmtid="{D5CDD505-2E9C-101B-9397-08002B2CF9AE}" pid="6" name="Docauthor">
    <vt:lpwstr>[Insérer texte]</vt:lpwstr>
  </property>
  <property fmtid="{D5CDD505-2E9C-101B-9397-08002B2CF9AE}" pid="7" name="Docbluepink">
    <vt:lpwstr/>
  </property>
</Properties>
</file>