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2"/>
        <w:tblW w:w="9923"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2092"/>
        <w:gridCol w:w="4536"/>
        <w:gridCol w:w="3295"/>
      </w:tblGrid>
      <w:tr w:rsidR="002E6963" w:rsidTr="00B25B6D">
        <w:trPr>
          <w:cantSplit/>
        </w:trPr>
        <w:tc>
          <w:tcPr>
            <w:tcW w:w="6628" w:type="dxa"/>
            <w:gridSpan w:val="2"/>
          </w:tcPr>
          <w:p w:rsidR="00CE0DBE" w:rsidRPr="006F3D93" w:rsidRDefault="002E6963" w:rsidP="008F1130">
            <w:pPr>
              <w:rPr>
                <w:sz w:val="32"/>
                <w:szCs w:val="32"/>
              </w:rPr>
            </w:pPr>
            <w:r w:rsidRPr="006F3D93">
              <w:rPr>
                <w:b/>
                <w:bCs/>
                <w:sz w:val="32"/>
                <w:szCs w:val="32"/>
              </w:rPr>
              <w:t>Telecommunication</w:t>
            </w:r>
            <w:r w:rsidR="00F03622">
              <w:rPr>
                <w:b/>
                <w:bCs/>
                <w:sz w:val="32"/>
                <w:szCs w:val="32"/>
              </w:rPr>
              <w:br/>
            </w:r>
            <w:r w:rsidRPr="006F3D93">
              <w:rPr>
                <w:b/>
                <w:bCs/>
                <w:sz w:val="32"/>
                <w:szCs w:val="32"/>
              </w:rPr>
              <w:t xml:space="preserve">Development </w:t>
            </w:r>
            <w:r w:rsidR="00CE0DBE" w:rsidRPr="006F3D93">
              <w:rPr>
                <w:b/>
                <w:bCs/>
                <w:sz w:val="32"/>
                <w:szCs w:val="32"/>
              </w:rPr>
              <w:t>Sector</w:t>
            </w:r>
          </w:p>
          <w:p w:rsidR="002E6963" w:rsidRPr="00844A56" w:rsidRDefault="00163091" w:rsidP="008F1130">
            <w:pPr>
              <w:spacing w:before="40" w:after="40"/>
              <w:rPr>
                <w:rFonts w:ascii="Verdana" w:hAnsi="Verdana"/>
                <w:sz w:val="28"/>
                <w:szCs w:val="28"/>
              </w:rPr>
            </w:pPr>
            <w:r w:rsidRPr="00844A56">
              <w:rPr>
                <w:b/>
                <w:bCs/>
                <w:sz w:val="28"/>
                <w:szCs w:val="28"/>
              </w:rPr>
              <w:t>Study Groups</w:t>
            </w:r>
          </w:p>
        </w:tc>
        <w:tc>
          <w:tcPr>
            <w:tcW w:w="3295" w:type="dxa"/>
          </w:tcPr>
          <w:p w:rsidR="002E6963" w:rsidRPr="008F1130" w:rsidRDefault="00933A9E" w:rsidP="00933A9E">
            <w:pPr>
              <w:spacing w:before="40" w:after="80"/>
              <w:ind w:right="142"/>
              <w:jc w:val="right"/>
            </w:pPr>
            <w:r w:rsidRPr="005D532E">
              <w:rPr>
                <w:noProof/>
                <w:lang w:eastAsia="en-GB"/>
              </w:rPr>
              <w:drawing>
                <wp:inline distT="0" distB="0" distL="0" distR="0" wp14:anchorId="6E7E6A0D" wp14:editId="02B76545">
                  <wp:extent cx="713373" cy="790575"/>
                  <wp:effectExtent l="0" t="0" r="0" b="0"/>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54954" cy="836656"/>
                          </a:xfrm>
                          <a:prstGeom prst="rect">
                            <a:avLst/>
                          </a:prstGeom>
                          <a:noFill/>
                          <a:ln>
                            <a:noFill/>
                          </a:ln>
                        </pic:spPr>
                      </pic:pic>
                    </a:graphicData>
                  </a:graphic>
                </wp:inline>
              </w:drawing>
            </w:r>
          </w:p>
        </w:tc>
      </w:tr>
      <w:tr w:rsidR="003052FF" w:rsidRPr="00997358" w:rsidTr="00B25B6D">
        <w:trPr>
          <w:cantSplit/>
        </w:trPr>
        <w:tc>
          <w:tcPr>
            <w:tcW w:w="9923" w:type="dxa"/>
            <w:gridSpan w:val="3"/>
            <w:vAlign w:val="center"/>
          </w:tcPr>
          <w:p w:rsidR="003052FF" w:rsidRPr="00803A04" w:rsidRDefault="003052FF" w:rsidP="003052FF">
            <w:pPr>
              <w:rPr>
                <w:rFonts w:cstheme="minorHAnsi"/>
                <w:b/>
                <w:bCs/>
                <w:sz w:val="26"/>
                <w:szCs w:val="26"/>
                <w:lang w:val="en-US"/>
              </w:rPr>
            </w:pPr>
            <w:bookmarkStart w:id="0" w:name="Meeting"/>
            <w:bookmarkEnd w:id="0"/>
            <w:r w:rsidRPr="00803A04">
              <w:rPr>
                <w:rFonts w:cstheme="minorHAnsi"/>
                <w:b/>
                <w:bCs/>
                <w:sz w:val="26"/>
                <w:szCs w:val="26"/>
                <w:lang w:val="en-US"/>
              </w:rPr>
              <w:t>ITU-D Study Group 1 Rapporteur Group Meetings</w:t>
            </w:r>
          </w:p>
        </w:tc>
      </w:tr>
      <w:tr w:rsidR="003052FF" w:rsidRPr="00997358" w:rsidTr="00B25B6D">
        <w:trPr>
          <w:cantSplit/>
        </w:trPr>
        <w:tc>
          <w:tcPr>
            <w:tcW w:w="9923" w:type="dxa"/>
            <w:gridSpan w:val="3"/>
            <w:tcBorders>
              <w:bottom w:val="single" w:sz="12" w:space="0" w:color="auto"/>
            </w:tcBorders>
            <w:vAlign w:val="center"/>
          </w:tcPr>
          <w:p w:rsidR="003052FF" w:rsidRPr="00803A04" w:rsidRDefault="003052FF" w:rsidP="003052FF">
            <w:pPr>
              <w:spacing w:before="0"/>
              <w:rPr>
                <w:rFonts w:cstheme="minorHAnsi"/>
                <w:b/>
                <w:bCs/>
                <w:szCs w:val="24"/>
                <w:lang w:val="en-US"/>
              </w:rPr>
            </w:pPr>
            <w:bookmarkStart w:id="1" w:name="PlaceDate"/>
            <w:bookmarkEnd w:id="1"/>
            <w:r w:rsidRPr="00803A04">
              <w:rPr>
                <w:rFonts w:cstheme="minorHAnsi"/>
                <w:b/>
                <w:bCs/>
                <w:szCs w:val="24"/>
                <w:lang w:val="en-US"/>
              </w:rPr>
              <w:t>Geneva, 23 September – 4 October 2019</w:t>
            </w:r>
          </w:p>
        </w:tc>
      </w:tr>
      <w:tr w:rsidR="002E6963" w:rsidRPr="00997358" w:rsidTr="00B25B6D">
        <w:trPr>
          <w:cantSplit/>
        </w:trPr>
        <w:tc>
          <w:tcPr>
            <w:tcW w:w="6628" w:type="dxa"/>
            <w:gridSpan w:val="2"/>
          </w:tcPr>
          <w:p w:rsidR="002E6963" w:rsidRPr="00997358" w:rsidRDefault="002E6963" w:rsidP="008F1130">
            <w:pPr>
              <w:spacing w:before="0"/>
              <w:rPr>
                <w:rFonts w:cs="Arial"/>
                <w:b/>
                <w:bCs/>
                <w:sz w:val="20"/>
              </w:rPr>
            </w:pPr>
          </w:p>
        </w:tc>
        <w:tc>
          <w:tcPr>
            <w:tcW w:w="3295" w:type="dxa"/>
          </w:tcPr>
          <w:p w:rsidR="002E6963" w:rsidRPr="00997358" w:rsidRDefault="002E6963" w:rsidP="008F1130">
            <w:pPr>
              <w:spacing w:before="0"/>
              <w:rPr>
                <w:b/>
                <w:bCs/>
                <w:sz w:val="20"/>
              </w:rPr>
            </w:pPr>
          </w:p>
        </w:tc>
      </w:tr>
      <w:tr w:rsidR="003052FF" w:rsidRPr="00002716" w:rsidTr="00B25B6D">
        <w:trPr>
          <w:cantSplit/>
        </w:trPr>
        <w:tc>
          <w:tcPr>
            <w:tcW w:w="6628" w:type="dxa"/>
            <w:gridSpan w:val="2"/>
            <w:vMerge w:val="restart"/>
          </w:tcPr>
          <w:p w:rsidR="003052FF" w:rsidRPr="002E6963" w:rsidRDefault="003052FF" w:rsidP="003052FF">
            <w:pPr>
              <w:pStyle w:val="Committee"/>
              <w:rPr>
                <w:b w:val="0"/>
              </w:rPr>
            </w:pPr>
          </w:p>
        </w:tc>
        <w:tc>
          <w:tcPr>
            <w:tcW w:w="3295" w:type="dxa"/>
          </w:tcPr>
          <w:p w:rsidR="003052FF" w:rsidRPr="00002716" w:rsidRDefault="003052FF" w:rsidP="003052FF">
            <w:pPr>
              <w:spacing w:before="0"/>
              <w:rPr>
                <w:bCs/>
                <w:lang w:val="en-US"/>
              </w:rPr>
            </w:pPr>
            <w:r w:rsidRPr="00002716">
              <w:rPr>
                <w:b/>
                <w:bCs/>
                <w:lang w:val="en-US"/>
              </w:rPr>
              <w:t xml:space="preserve">Document </w:t>
            </w:r>
            <w:bookmarkStart w:id="2" w:name="DocRef1"/>
            <w:bookmarkEnd w:id="2"/>
            <w:r>
              <w:fldChar w:fldCharType="begin"/>
            </w:r>
            <w:r>
              <w:instrText>HYPERLINK "http://www.itu.int/md/D18-SG01.RGQ-C-0254/"</w:instrText>
            </w:r>
            <w:r>
              <w:fldChar w:fldCharType="separate"/>
            </w:r>
            <w:r w:rsidRPr="00803A04">
              <w:rPr>
                <w:rStyle w:val="Hyperlink"/>
                <w:rFonts w:cstheme="minorHAnsi"/>
                <w:b/>
                <w:bCs/>
                <w:lang w:val="en-US"/>
              </w:rPr>
              <w:t>SG1RGQ/</w:t>
            </w:r>
            <w:r>
              <w:rPr>
                <w:rStyle w:val="Hyperlink"/>
                <w:rFonts w:cstheme="minorHAnsi"/>
                <w:b/>
                <w:bCs/>
                <w:lang w:val="en-US"/>
              </w:rPr>
              <w:t>254</w:t>
            </w:r>
            <w:r w:rsidRPr="00803A04">
              <w:rPr>
                <w:rStyle w:val="Hyperlink"/>
                <w:rFonts w:cstheme="minorHAnsi"/>
                <w:b/>
                <w:bCs/>
                <w:lang w:val="en-US"/>
              </w:rPr>
              <w:t>-E</w:t>
            </w:r>
            <w:r>
              <w:rPr>
                <w:rStyle w:val="Hyperlink"/>
                <w:rFonts w:cstheme="minorHAnsi"/>
                <w:b/>
                <w:bCs/>
                <w:lang w:val="en-US"/>
              </w:rPr>
              <w:fldChar w:fldCharType="end"/>
            </w:r>
          </w:p>
        </w:tc>
      </w:tr>
      <w:tr w:rsidR="003052FF" w:rsidTr="00B25B6D">
        <w:trPr>
          <w:cantSplit/>
        </w:trPr>
        <w:tc>
          <w:tcPr>
            <w:tcW w:w="6628" w:type="dxa"/>
            <w:gridSpan w:val="2"/>
            <w:vMerge/>
          </w:tcPr>
          <w:p w:rsidR="003052FF" w:rsidRPr="00002716" w:rsidRDefault="003052FF" w:rsidP="003052FF">
            <w:pPr>
              <w:spacing w:after="120"/>
              <w:rPr>
                <w:b/>
                <w:bCs/>
                <w:smallCaps/>
                <w:lang w:val="en-US"/>
              </w:rPr>
            </w:pPr>
          </w:p>
        </w:tc>
        <w:tc>
          <w:tcPr>
            <w:tcW w:w="3295" w:type="dxa"/>
          </w:tcPr>
          <w:p w:rsidR="003052FF" w:rsidRPr="00EC6F80" w:rsidRDefault="003052FF" w:rsidP="003052FF">
            <w:pPr>
              <w:spacing w:before="0"/>
              <w:rPr>
                <w:b/>
              </w:rPr>
            </w:pPr>
            <w:bookmarkStart w:id="3" w:name="CreationDate"/>
            <w:bookmarkEnd w:id="3"/>
            <w:r>
              <w:rPr>
                <w:b/>
              </w:rPr>
              <w:t>10 September 2019</w:t>
            </w:r>
          </w:p>
        </w:tc>
      </w:tr>
      <w:tr w:rsidR="003052FF" w:rsidTr="00B25B6D">
        <w:trPr>
          <w:cantSplit/>
        </w:trPr>
        <w:tc>
          <w:tcPr>
            <w:tcW w:w="6628" w:type="dxa"/>
            <w:gridSpan w:val="2"/>
            <w:vMerge/>
          </w:tcPr>
          <w:p w:rsidR="003052FF" w:rsidRDefault="003052FF" w:rsidP="003052FF">
            <w:pPr>
              <w:spacing w:after="120"/>
              <w:rPr>
                <w:b/>
                <w:bCs/>
                <w:smallCaps/>
              </w:rPr>
            </w:pPr>
          </w:p>
        </w:tc>
        <w:tc>
          <w:tcPr>
            <w:tcW w:w="3295" w:type="dxa"/>
          </w:tcPr>
          <w:p w:rsidR="003052FF" w:rsidRDefault="003052FF" w:rsidP="003052FF">
            <w:pPr>
              <w:spacing w:before="0" w:after="120"/>
              <w:rPr>
                <w:b/>
                <w:lang w:val="en-US"/>
              </w:rPr>
            </w:pPr>
            <w:r>
              <w:rPr>
                <w:b/>
                <w:lang w:val="en-US"/>
              </w:rPr>
              <w:t>English only</w:t>
            </w:r>
          </w:p>
          <w:p w:rsidR="003052FF" w:rsidRPr="00D34008" w:rsidRDefault="003052FF" w:rsidP="003052FF">
            <w:pPr>
              <w:spacing w:before="0" w:after="240"/>
            </w:pPr>
            <w:r>
              <w:rPr>
                <w:b/>
                <w:lang w:val="en-US"/>
              </w:rPr>
              <w:t>DELAYED CONTRIBUTION</w:t>
            </w:r>
          </w:p>
        </w:tc>
      </w:tr>
      <w:tr w:rsidR="00E2184F" w:rsidTr="00B25B6D">
        <w:trPr>
          <w:cantSplit/>
        </w:trPr>
        <w:tc>
          <w:tcPr>
            <w:tcW w:w="9923" w:type="dxa"/>
            <w:gridSpan w:val="3"/>
          </w:tcPr>
          <w:p w:rsidR="00E2184F" w:rsidRPr="007C6D17" w:rsidRDefault="00443DA5" w:rsidP="00846BCA">
            <w:pPr>
              <w:pStyle w:val="Source"/>
              <w:tabs>
                <w:tab w:val="clear" w:pos="794"/>
                <w:tab w:val="clear" w:pos="1191"/>
                <w:tab w:val="clear" w:pos="1588"/>
                <w:tab w:val="clear" w:pos="1985"/>
                <w:tab w:val="left" w:pos="2161"/>
              </w:tabs>
              <w:ind w:left="2160" w:hanging="2160"/>
              <w:rPr>
                <w:szCs w:val="24"/>
              </w:rPr>
            </w:pPr>
            <w:bookmarkStart w:id="4" w:name="QShort"/>
            <w:bookmarkEnd w:id="4"/>
            <w:r>
              <w:rPr>
                <w:szCs w:val="24"/>
              </w:rPr>
              <w:t xml:space="preserve">Question 5/1: </w:t>
            </w:r>
            <w:r>
              <w:rPr>
                <w:szCs w:val="24"/>
              </w:rPr>
              <w:tab/>
              <w:t>Telecommunications/ICTs for rural and remote areas</w:t>
            </w:r>
          </w:p>
        </w:tc>
      </w:tr>
      <w:tr w:rsidR="002E6963" w:rsidTr="00B25B6D">
        <w:trPr>
          <w:cantSplit/>
        </w:trPr>
        <w:tc>
          <w:tcPr>
            <w:tcW w:w="2092" w:type="dxa"/>
          </w:tcPr>
          <w:p w:rsidR="002E6963" w:rsidRPr="009F3EB2" w:rsidRDefault="002E6963" w:rsidP="008F1130">
            <w:pPr>
              <w:pStyle w:val="Source"/>
            </w:pPr>
            <w:r w:rsidRPr="009F3EB2">
              <w:t>SOURCE:</w:t>
            </w:r>
          </w:p>
        </w:tc>
        <w:tc>
          <w:tcPr>
            <w:tcW w:w="7831" w:type="dxa"/>
            <w:gridSpan w:val="2"/>
          </w:tcPr>
          <w:p w:rsidR="002E6963" w:rsidRPr="0038365A" w:rsidRDefault="00443DA5" w:rsidP="00D534E7">
            <w:pPr>
              <w:pStyle w:val="Source"/>
              <w:tabs>
                <w:tab w:val="clear" w:pos="794"/>
                <w:tab w:val="clear" w:pos="1191"/>
                <w:tab w:val="clear" w:pos="1588"/>
                <w:tab w:val="clear" w:pos="1985"/>
              </w:tabs>
              <w:ind w:left="68"/>
              <w:rPr>
                <w:b w:val="0"/>
                <w:bCs/>
              </w:rPr>
            </w:pPr>
            <w:bookmarkStart w:id="5" w:name="Source"/>
            <w:bookmarkEnd w:id="5"/>
            <w:r>
              <w:rPr>
                <w:b w:val="0"/>
                <w:bCs/>
              </w:rPr>
              <w:t>Association for Progressive Communications (APC)</w:t>
            </w:r>
          </w:p>
        </w:tc>
      </w:tr>
      <w:tr w:rsidR="002E6963" w:rsidTr="00B25B6D">
        <w:trPr>
          <w:cantSplit/>
        </w:trPr>
        <w:tc>
          <w:tcPr>
            <w:tcW w:w="2092" w:type="dxa"/>
          </w:tcPr>
          <w:p w:rsidR="002E6963" w:rsidRPr="00E94BAB" w:rsidRDefault="002E6963" w:rsidP="008F1130">
            <w:pPr>
              <w:pStyle w:val="Source"/>
              <w:spacing w:after="120"/>
            </w:pPr>
            <w:r w:rsidRPr="00E94BAB">
              <w:t>TITLE:</w:t>
            </w:r>
          </w:p>
        </w:tc>
        <w:tc>
          <w:tcPr>
            <w:tcW w:w="7831" w:type="dxa"/>
            <w:gridSpan w:val="2"/>
          </w:tcPr>
          <w:p w:rsidR="002E6963" w:rsidRPr="00E94BAB" w:rsidRDefault="00443DA5" w:rsidP="00EC6F80">
            <w:pPr>
              <w:pStyle w:val="Title1"/>
              <w:tabs>
                <w:tab w:val="clear" w:pos="567"/>
                <w:tab w:val="clear" w:pos="1134"/>
                <w:tab w:val="clear" w:pos="1701"/>
                <w:tab w:val="clear" w:pos="2268"/>
                <w:tab w:val="clear" w:pos="2835"/>
                <w:tab w:val="left" w:pos="1588"/>
              </w:tabs>
              <w:spacing w:before="120" w:after="120"/>
              <w:ind w:left="69"/>
              <w:rPr>
                <w:b w:val="0"/>
                <w:bCs/>
                <w:szCs w:val="18"/>
              </w:rPr>
            </w:pPr>
            <w:bookmarkStart w:id="6" w:name="Title"/>
            <w:bookmarkEnd w:id="6"/>
            <w:r>
              <w:rPr>
                <w:b w:val="0"/>
                <w:bCs/>
                <w:szCs w:val="18"/>
              </w:rPr>
              <w:t>Economic and social development enabled by complementary connectivity approaches</w:t>
            </w:r>
          </w:p>
        </w:tc>
      </w:tr>
      <w:tr w:rsidR="00947A35" w:rsidRPr="002E6963" w:rsidTr="00B25B6D">
        <w:trPr>
          <w:cantSplit/>
        </w:trPr>
        <w:tc>
          <w:tcPr>
            <w:tcW w:w="9923" w:type="dxa"/>
            <w:gridSpan w:val="3"/>
          </w:tcPr>
          <w:p w:rsidR="00947A35" w:rsidRPr="00947A35" w:rsidRDefault="00947A35" w:rsidP="00846BCA">
            <w:pPr>
              <w:pStyle w:val="Title1"/>
              <w:spacing w:before="120" w:after="120"/>
              <w:rPr>
                <w:szCs w:val="18"/>
              </w:rPr>
            </w:pPr>
            <w:bookmarkStart w:id="7" w:name="RefDoc"/>
            <w:bookmarkEnd w:id="7"/>
          </w:p>
        </w:tc>
      </w:tr>
      <w:tr w:rsidR="00947A35" w:rsidRPr="002E6963" w:rsidTr="00B25B6D">
        <w:trPr>
          <w:cantSplit/>
        </w:trPr>
        <w:tc>
          <w:tcPr>
            <w:tcW w:w="2092" w:type="dxa"/>
          </w:tcPr>
          <w:p w:rsidR="00947A35" w:rsidRPr="002548C3" w:rsidRDefault="00947A35" w:rsidP="008F1130">
            <w:pPr>
              <w:pStyle w:val="Source"/>
              <w:spacing w:after="120"/>
              <w:rPr>
                <w:rFonts w:cs="Times New Roman Bold"/>
                <w:szCs w:val="18"/>
              </w:rPr>
            </w:pPr>
            <w:r w:rsidRPr="002548C3">
              <w:rPr>
                <w:rFonts w:cs="Times New Roman Bold"/>
                <w:szCs w:val="18"/>
              </w:rPr>
              <w:t>Action required:</w:t>
            </w:r>
          </w:p>
        </w:tc>
        <w:tc>
          <w:tcPr>
            <w:tcW w:w="7831" w:type="dxa"/>
            <w:gridSpan w:val="2"/>
          </w:tcPr>
          <w:p w:rsidR="00947A35" w:rsidRPr="00037F91" w:rsidRDefault="00443DA5" w:rsidP="00EC6F80">
            <w:pPr>
              <w:pStyle w:val="Title1"/>
              <w:spacing w:before="120" w:after="120"/>
              <w:ind w:left="69"/>
              <w:rPr>
                <w:b w:val="0"/>
                <w:bCs/>
                <w:szCs w:val="24"/>
              </w:rPr>
            </w:pPr>
            <w:bookmarkStart w:id="8" w:name="ActionReq"/>
            <w:bookmarkEnd w:id="8"/>
            <w:r>
              <w:rPr>
                <w:b w:val="0"/>
                <w:bCs/>
                <w:szCs w:val="24"/>
              </w:rPr>
              <w:t xml:space="preserve">Participants </w:t>
            </w:r>
            <w:proofErr w:type="gramStart"/>
            <w:r>
              <w:rPr>
                <w:b w:val="0"/>
                <w:bCs/>
                <w:szCs w:val="24"/>
              </w:rPr>
              <w:t>are requested</w:t>
            </w:r>
            <w:proofErr w:type="gramEnd"/>
            <w:r>
              <w:rPr>
                <w:b w:val="0"/>
                <w:bCs/>
                <w:szCs w:val="24"/>
              </w:rPr>
              <w:t xml:space="preserve"> to consider this document</w:t>
            </w:r>
            <w:r w:rsidR="003052FF">
              <w:rPr>
                <w:b w:val="0"/>
                <w:bCs/>
                <w:szCs w:val="24"/>
              </w:rPr>
              <w:t>.</w:t>
            </w:r>
          </w:p>
        </w:tc>
      </w:tr>
      <w:tr w:rsidR="0051033E" w:rsidRPr="002E6963" w:rsidTr="00B25B6D">
        <w:trPr>
          <w:cantSplit/>
        </w:trPr>
        <w:tc>
          <w:tcPr>
            <w:tcW w:w="2092" w:type="dxa"/>
          </w:tcPr>
          <w:p w:rsidR="0051033E" w:rsidRPr="0030071A" w:rsidRDefault="0051033E" w:rsidP="008F1130">
            <w:pPr>
              <w:pStyle w:val="Source"/>
              <w:spacing w:after="120"/>
              <w:rPr>
                <w:rFonts w:cs="Times New Roman Bold"/>
                <w:b w:val="0"/>
                <w:bCs/>
                <w:i/>
                <w:iCs/>
                <w:szCs w:val="18"/>
              </w:rPr>
            </w:pPr>
            <w:r w:rsidRPr="0030071A">
              <w:rPr>
                <w:rFonts w:cs="Times New Roman Bold"/>
                <w:b w:val="0"/>
                <w:bCs/>
                <w:i/>
                <w:iCs/>
                <w:szCs w:val="18"/>
              </w:rPr>
              <w:t xml:space="preserve">Keywords: </w:t>
            </w:r>
          </w:p>
        </w:tc>
        <w:tc>
          <w:tcPr>
            <w:tcW w:w="7831" w:type="dxa"/>
            <w:gridSpan w:val="2"/>
          </w:tcPr>
          <w:p w:rsidR="0051033E" w:rsidRPr="00846BCA" w:rsidRDefault="003052FF" w:rsidP="003052FF">
            <w:pPr>
              <w:pStyle w:val="Title1"/>
              <w:spacing w:before="120" w:after="120"/>
              <w:ind w:left="69"/>
              <w:rPr>
                <w:b w:val="0"/>
                <w:bCs/>
                <w:i/>
                <w:iCs/>
                <w:szCs w:val="24"/>
              </w:rPr>
            </w:pPr>
            <w:bookmarkStart w:id="9" w:name="Keywords"/>
            <w:bookmarkEnd w:id="9"/>
            <w:r>
              <w:rPr>
                <w:b w:val="0"/>
                <w:bCs/>
                <w:i/>
                <w:iCs/>
                <w:szCs w:val="24"/>
              </w:rPr>
              <w:t>r</w:t>
            </w:r>
            <w:r w:rsidR="00443DA5">
              <w:rPr>
                <w:b w:val="0"/>
                <w:bCs/>
                <w:i/>
                <w:iCs/>
                <w:szCs w:val="24"/>
              </w:rPr>
              <w:t>ural and remote telecommunication/ICT access</w:t>
            </w:r>
            <w:r>
              <w:rPr>
                <w:b w:val="0"/>
                <w:bCs/>
                <w:i/>
                <w:iCs/>
                <w:szCs w:val="24"/>
              </w:rPr>
              <w:t>,</w:t>
            </w:r>
            <w:r w:rsidR="00443DA5">
              <w:rPr>
                <w:b w:val="0"/>
                <w:bCs/>
                <w:i/>
                <w:iCs/>
                <w:szCs w:val="24"/>
              </w:rPr>
              <w:t xml:space="preserve"> </w:t>
            </w:r>
            <w:r>
              <w:rPr>
                <w:b w:val="0"/>
                <w:bCs/>
                <w:i/>
                <w:iCs/>
                <w:szCs w:val="24"/>
              </w:rPr>
              <w:t>c</w:t>
            </w:r>
            <w:r w:rsidR="00443DA5">
              <w:rPr>
                <w:b w:val="0"/>
                <w:bCs/>
                <w:i/>
                <w:iCs/>
                <w:szCs w:val="24"/>
              </w:rPr>
              <w:t xml:space="preserve">omplementary connectivity, </w:t>
            </w:r>
            <w:r w:rsidR="009F6613" w:rsidRPr="009F6613">
              <w:rPr>
                <w:b w:val="0"/>
                <w:bCs/>
                <w:i/>
                <w:iCs/>
                <w:szCs w:val="24"/>
              </w:rPr>
              <w:t>bottom-up telecom infrastructure</w:t>
            </w:r>
          </w:p>
        </w:tc>
      </w:tr>
    </w:tbl>
    <w:p w:rsidR="00B46350" w:rsidRDefault="00B46350" w:rsidP="00B46350">
      <w:pPr>
        <w:spacing w:before="0"/>
      </w:pPr>
    </w:p>
    <w:tbl>
      <w:tblPr>
        <w:tblStyle w:val="TableGrid"/>
        <w:tblW w:w="9918" w:type="dxa"/>
        <w:tblLook w:val="04A0" w:firstRow="1" w:lastRow="0" w:firstColumn="1" w:lastColumn="0" w:noHBand="0" w:noVBand="1"/>
        <w:tblCaption w:val="Abstract"/>
        <w:tblDescription w:val="Abstract"/>
      </w:tblPr>
      <w:tblGrid>
        <w:gridCol w:w="9918"/>
      </w:tblGrid>
      <w:tr w:rsidR="005D7761" w:rsidTr="00B25B6D">
        <w:tc>
          <w:tcPr>
            <w:tcW w:w="9918" w:type="dxa"/>
          </w:tcPr>
          <w:p w:rsidR="000C7B84" w:rsidRDefault="000C7B84" w:rsidP="00113EE8">
            <w:pPr>
              <w:overflowPunct/>
              <w:autoSpaceDE/>
              <w:autoSpaceDN/>
              <w:adjustRightInd/>
              <w:textAlignment w:val="auto"/>
            </w:pPr>
            <w:r w:rsidRPr="005E777F">
              <w:rPr>
                <w:rFonts w:cs="Times New Roman Bold"/>
                <w:b/>
                <w:szCs w:val="18"/>
              </w:rPr>
              <w:t>Abstract:</w:t>
            </w:r>
          </w:p>
          <w:p w:rsidR="004968B3" w:rsidRPr="004968B3" w:rsidRDefault="004968B3" w:rsidP="004968B3">
            <w:pPr>
              <w:pStyle w:val="Standard"/>
              <w:spacing w:after="120"/>
              <w:rPr>
                <w:sz w:val="28"/>
              </w:rPr>
            </w:pPr>
            <w:bookmarkStart w:id="10" w:name="Abstract"/>
            <w:bookmarkEnd w:id="10"/>
            <w:r w:rsidRPr="004968B3">
              <w:rPr>
                <w:szCs w:val="22"/>
              </w:rPr>
              <w:t xml:space="preserve">Question 5/1 aims to achieve the mandate and objective of WTDC-17 and plans to do this by identifying best practices and formulating sustainable solutions for challenges faced in access to ICTs by rural and remote communities. In this specific area Resolution 11 and Resolution </w:t>
            </w:r>
            <w:proofErr w:type="gramStart"/>
            <w:r w:rsidRPr="004968B3">
              <w:rPr>
                <w:szCs w:val="22"/>
              </w:rPr>
              <w:t>19</w:t>
            </w:r>
            <w:proofErr w:type="gramEnd"/>
            <w:r w:rsidRPr="004968B3">
              <w:rPr>
                <w:szCs w:val="22"/>
              </w:rPr>
              <w:t xml:space="preserve"> present a clear need for the analysis and dissemination of best practices and the need for optimum usage of available resources, which can only be achieved if a broader range of models and strategies are considered.</w:t>
            </w:r>
          </w:p>
          <w:p w:rsidR="004968B3" w:rsidRPr="004968B3" w:rsidRDefault="004968B3" w:rsidP="004968B3">
            <w:pPr>
              <w:pStyle w:val="Standard"/>
              <w:spacing w:after="120"/>
              <w:rPr>
                <w:sz w:val="28"/>
              </w:rPr>
            </w:pPr>
            <w:r w:rsidRPr="004968B3">
              <w:rPr>
                <w:szCs w:val="22"/>
              </w:rPr>
              <w:t xml:space="preserve">This contribution shows how connectivity models for urban environments </w:t>
            </w:r>
            <w:proofErr w:type="gramStart"/>
            <w:r w:rsidRPr="004968B3">
              <w:rPr>
                <w:szCs w:val="22"/>
              </w:rPr>
              <w:t>cannot simply be transplanted</w:t>
            </w:r>
            <w:proofErr w:type="gramEnd"/>
            <w:r w:rsidRPr="004968B3">
              <w:rPr>
                <w:szCs w:val="22"/>
              </w:rPr>
              <w:t xml:space="preserve"> to rural areas - this is the reason many approaches to addressing rural connectivity gaps fail.</w:t>
            </w:r>
          </w:p>
          <w:p w:rsidR="005D7761" w:rsidRDefault="004968B3" w:rsidP="004968B3">
            <w:pPr>
              <w:pStyle w:val="Normalaftertitle"/>
              <w:spacing w:before="120" w:after="120"/>
            </w:pPr>
            <w:r w:rsidRPr="004968B3">
              <w:rPr>
                <w:szCs w:val="22"/>
              </w:rPr>
              <w:t xml:space="preserve">There are other, smaller scale connectivity </w:t>
            </w:r>
            <w:proofErr w:type="gramStart"/>
            <w:r w:rsidRPr="004968B3">
              <w:rPr>
                <w:szCs w:val="22"/>
              </w:rPr>
              <w:t>approaches which</w:t>
            </w:r>
            <w:proofErr w:type="gramEnd"/>
            <w:r w:rsidRPr="004968B3">
              <w:rPr>
                <w:szCs w:val="22"/>
              </w:rPr>
              <w:t xml:space="preserve"> can complement existing models in policy frameworks aiming to address digital inclusion.</w:t>
            </w:r>
            <w:r w:rsidR="00DD6806">
              <w:rPr>
                <w:szCs w:val="22"/>
              </w:rPr>
              <w:t xml:space="preserve"> </w:t>
            </w:r>
            <w:r w:rsidRPr="004968B3">
              <w:rPr>
                <w:szCs w:val="22"/>
              </w:rPr>
              <w:t xml:space="preserve">Many successful cases </w:t>
            </w:r>
            <w:proofErr w:type="gramStart"/>
            <w:r w:rsidRPr="004968B3">
              <w:rPr>
                <w:szCs w:val="22"/>
              </w:rPr>
              <w:t>are presented</w:t>
            </w:r>
            <w:proofErr w:type="gramEnd"/>
            <w:r w:rsidRPr="004968B3">
              <w:rPr>
                <w:szCs w:val="22"/>
              </w:rPr>
              <w:t>, and their strategies cited as key enablers for bridging the digital divide in remote areas of Least Developed Countries (LDCs) in support of accomplishing the Sustainable Development Goals (SDGs).</w:t>
            </w:r>
          </w:p>
        </w:tc>
      </w:tr>
    </w:tbl>
    <w:p w:rsidR="005D7761" w:rsidRDefault="005D7761" w:rsidP="00844A56">
      <w:pPr>
        <w:pStyle w:val="Normalaftertitle"/>
      </w:pPr>
    </w:p>
    <w:p w:rsidR="00662809" w:rsidRDefault="00662809">
      <w:r>
        <w:br w:type="page"/>
      </w:r>
    </w:p>
    <w:tbl>
      <w:tblPr>
        <w:tblStyle w:val="TableGrid"/>
        <w:tblW w:w="9918" w:type="dxa"/>
        <w:tblLook w:val="04A0" w:firstRow="1" w:lastRow="0" w:firstColumn="1" w:lastColumn="0" w:noHBand="0" w:noVBand="1"/>
      </w:tblPr>
      <w:tblGrid>
        <w:gridCol w:w="9918"/>
      </w:tblGrid>
      <w:tr w:rsidR="00484B88" w:rsidRPr="00484B88" w:rsidTr="00B25B6D">
        <w:tc>
          <w:tcPr>
            <w:tcW w:w="9918" w:type="dxa"/>
          </w:tcPr>
          <w:p w:rsidR="00484B88" w:rsidRPr="00484B88" w:rsidRDefault="00484B88" w:rsidP="00484B88">
            <w:pPr>
              <w:overflowPunct/>
              <w:autoSpaceDE/>
              <w:autoSpaceDN/>
              <w:adjustRightInd/>
              <w:textAlignment w:val="auto"/>
              <w:rPr>
                <w:rFonts w:cs="Times New Roman Bold"/>
                <w:b/>
                <w:szCs w:val="18"/>
              </w:rPr>
            </w:pPr>
            <w:r w:rsidRPr="00484B88">
              <w:rPr>
                <w:rFonts w:cs="Times New Roman Bold"/>
                <w:b/>
                <w:szCs w:val="18"/>
              </w:rPr>
              <w:lastRenderedPageBreak/>
              <w:t>Lessons learned and suggested best-practices (if appropriate):</w:t>
            </w:r>
          </w:p>
          <w:p w:rsidR="00484B88" w:rsidRPr="00B72992" w:rsidRDefault="00443DA5" w:rsidP="00ED5A00">
            <w:pPr>
              <w:overflowPunct/>
              <w:autoSpaceDE/>
              <w:autoSpaceDN/>
              <w:adjustRightInd/>
              <w:spacing w:after="120"/>
              <w:textAlignment w:val="auto"/>
              <w:rPr>
                <w:rFonts w:cs="Times New Roman Bold"/>
                <w:szCs w:val="18"/>
              </w:rPr>
            </w:pPr>
            <w:bookmarkStart w:id="11" w:name="Lessons"/>
            <w:bookmarkEnd w:id="11"/>
            <w:r>
              <w:rPr>
                <w:rFonts w:cs="Times New Roman Bold"/>
                <w:szCs w:val="18"/>
              </w:rPr>
              <w:t xml:space="preserve">Complementary connectivity models using bottom-up </w:t>
            </w:r>
            <w:proofErr w:type="gramStart"/>
            <w:r>
              <w:rPr>
                <w:rFonts w:cs="Times New Roman Bold"/>
                <w:szCs w:val="18"/>
              </w:rPr>
              <w:t>approaches which involve local communities</w:t>
            </w:r>
            <w:proofErr w:type="gramEnd"/>
            <w:r>
              <w:rPr>
                <w:rFonts w:cs="Times New Roman Bold"/>
                <w:szCs w:val="18"/>
              </w:rPr>
              <w:t xml:space="preserve"> have real potential to address digital exclusion and incentive economic growth.</w:t>
            </w:r>
          </w:p>
        </w:tc>
      </w:tr>
    </w:tbl>
    <w:p w:rsidR="00662809" w:rsidRDefault="00662809" w:rsidP="00662809">
      <w:pPr>
        <w:pStyle w:val="Standard"/>
        <w:spacing w:after="120"/>
        <w:rPr>
          <w:b/>
        </w:rPr>
      </w:pPr>
      <w:bookmarkStart w:id="12" w:name="Proposal"/>
      <w:bookmarkEnd w:id="12"/>
      <w:r>
        <w:rPr>
          <w:b/>
        </w:rPr>
        <w:t>Introduction</w:t>
      </w:r>
    </w:p>
    <w:p w:rsidR="00662809" w:rsidRDefault="00662809" w:rsidP="00662809">
      <w:pPr>
        <w:pStyle w:val="Standard"/>
        <w:spacing w:after="120"/>
      </w:pPr>
      <w:r>
        <w:t xml:space="preserve">Rural and remote communities face barriers to telecommunication/ICT infrastructure access, not just because of geographic, demographic, resource or technical constraints in these environments, </w:t>
      </w:r>
      <w:proofErr w:type="gramStart"/>
      <w:r>
        <w:t>but</w:t>
      </w:r>
      <w:proofErr w:type="gramEnd"/>
      <w:r>
        <w:t xml:space="preserve"> more structurally because of the inability of traditional market-based approaches to adequately reach them.</w:t>
      </w:r>
      <w:r w:rsidR="00DD6806">
        <w:t xml:space="preserve"> </w:t>
      </w:r>
      <w:r>
        <w:t>Accordingly, there is an opportunity to leverage smaller scale connectivity approaches, as a complement to established commercial models.</w:t>
      </w:r>
    </w:p>
    <w:p w:rsidR="00662809" w:rsidRDefault="00662809" w:rsidP="00662809">
      <w:pPr>
        <w:pStyle w:val="Standard"/>
        <w:spacing w:after="120"/>
      </w:pPr>
      <w:r>
        <w:t>These complimentary models presented for consideration in this contribution focus on techniques and sustainable solutions to enable access to telecommunication/ICTs in rural and remote areas. These self-organized smaller scale models have resulted in significantly lower startup and operating costs while strengthening economic and social development. The following sections present a background of the particular issues facing rural and remote communities and examples of alternative connectivity.</w:t>
      </w:r>
    </w:p>
    <w:p w:rsidR="00662809" w:rsidRDefault="00662809" w:rsidP="00662809">
      <w:pPr>
        <w:pStyle w:val="Standard"/>
        <w:spacing w:after="120"/>
      </w:pPr>
      <w:r>
        <w:t xml:space="preserve">The examples provided also demonstrate the progress that </w:t>
      </w:r>
      <w:proofErr w:type="gramStart"/>
      <w:r>
        <w:t>has been made</w:t>
      </w:r>
      <w:proofErr w:type="gramEnd"/>
      <w:r>
        <w:t xml:space="preserve"> towards several Sustainable Development Goals (SDGs), including primarily the development of resilient infrastructure that fosters innovation (SDG9) and the enablement of greater access to education for previously marginalized communities (SDG4).</w:t>
      </w:r>
    </w:p>
    <w:p w:rsidR="00662809" w:rsidRDefault="00C22FA1" w:rsidP="00662809">
      <w:pPr>
        <w:pStyle w:val="Standard"/>
        <w:numPr>
          <w:ilvl w:val="0"/>
          <w:numId w:val="5"/>
        </w:numPr>
        <w:spacing w:after="120"/>
        <w:ind w:left="357" w:hanging="357"/>
        <w:rPr>
          <w:b/>
        </w:rPr>
      </w:pPr>
      <w:r>
        <w:rPr>
          <w:b/>
        </w:rPr>
        <w:t>Background and p</w:t>
      </w:r>
      <w:r w:rsidR="00662809">
        <w:rPr>
          <w:b/>
        </w:rPr>
        <w:t>roblem</w:t>
      </w:r>
    </w:p>
    <w:p w:rsidR="00662809" w:rsidRDefault="00662809" w:rsidP="00662809">
      <w:pPr>
        <w:pStyle w:val="Standard"/>
        <w:spacing w:after="120"/>
      </w:pPr>
      <w:r>
        <w:t xml:space="preserve">Traditional market models are predicated on the assumption that commercial service providers—in collaboration and coordination with government— </w:t>
      </w:r>
      <w:r w:rsidRPr="00313523">
        <w:t xml:space="preserve">with the support of universal service funds </w:t>
      </w:r>
      <w:r>
        <w:t>will provide the investment required to connect universal affordable access to communication. However, this approach tends to privilege infrastructure development in urban areas at the expense of rural and remote communities. There are two major reasons for this dynamic:</w:t>
      </w:r>
    </w:p>
    <w:p w:rsidR="00662809" w:rsidRDefault="00662809" w:rsidP="00662809">
      <w:pPr>
        <w:pStyle w:val="ListParagraph"/>
        <w:numPr>
          <w:ilvl w:val="0"/>
          <w:numId w:val="7"/>
        </w:numPr>
        <w:spacing w:before="40" w:after="40"/>
        <w:ind w:left="357" w:hanging="357"/>
      </w:pPr>
      <w:r>
        <w:t>Due to their relatively low population densities and limited commercial activity, rural and remote communities present low service demand, which renders infrastructural investment in these areas unprofitable for commercial service providers</w:t>
      </w:r>
      <w:r>
        <w:rPr>
          <w:rStyle w:val="FootnoteReference"/>
        </w:rPr>
        <w:footnoteReference w:id="1"/>
      </w:r>
      <w:r>
        <w:t>.</w:t>
      </w:r>
    </w:p>
    <w:p w:rsidR="00662809" w:rsidRDefault="00662809" w:rsidP="00662809">
      <w:pPr>
        <w:pStyle w:val="ListParagraph"/>
        <w:numPr>
          <w:ilvl w:val="0"/>
          <w:numId w:val="7"/>
        </w:numPr>
        <w:spacing w:before="40" w:after="40"/>
        <w:ind w:left="357" w:hanging="357"/>
      </w:pPr>
      <w:r>
        <w:t xml:space="preserve">The cost models that would ensure profitability for commercial service providers set unaffordable subscription rates for rural and remote communities, which are generally financially disadvantaged in comparison to urban areas; as such, individuals in these communities </w:t>
      </w:r>
      <w:proofErr w:type="gramStart"/>
      <w:r>
        <w:t>would be effectively priced</w:t>
      </w:r>
      <w:proofErr w:type="gramEnd"/>
      <w:r>
        <w:t xml:space="preserve"> out of using these services, even if sufficient access to infrastructure were available</w:t>
      </w:r>
      <w:r>
        <w:rPr>
          <w:rStyle w:val="FootnoteReference"/>
        </w:rPr>
        <w:footnoteReference w:id="2"/>
      </w:r>
      <w:r>
        <w:t>.</w:t>
      </w:r>
    </w:p>
    <w:p w:rsidR="00662809" w:rsidRDefault="00662809" w:rsidP="00662809">
      <w:pPr>
        <w:spacing w:after="120"/>
      </w:pPr>
      <w:r>
        <w:t>This is borne out by cases such as Burundi</w:t>
      </w:r>
      <w:r>
        <w:rPr>
          <w:rStyle w:val="FootnoteReference"/>
        </w:rPr>
        <w:footnoteReference w:id="3"/>
      </w:r>
      <w:proofErr w:type="gramStart"/>
      <w:r>
        <w:t xml:space="preserve"> which</w:t>
      </w:r>
      <w:proofErr w:type="gramEnd"/>
      <w:r>
        <w:t xml:space="preserve"> demonstrate that even when commercial approaches are present many users are left out of the equation; mainly due to lack of coverage or unaffordability. </w:t>
      </w:r>
      <w:proofErr w:type="gramStart"/>
      <w:r>
        <w:t xml:space="preserve">Similarly, </w:t>
      </w:r>
      <w:r>
        <w:rPr>
          <w:color w:val="00000A"/>
        </w:rPr>
        <w:t>India</w:t>
      </w:r>
      <w:r>
        <w:rPr>
          <w:rStyle w:val="FootnoteReference"/>
          <w:color w:val="00000A"/>
        </w:rPr>
        <w:footnoteReference w:id="4"/>
      </w:r>
      <w:r>
        <w:t xml:space="preserve"> has developed some innovative market approaches to provide </w:t>
      </w:r>
      <w:r>
        <w:lastRenderedPageBreak/>
        <w:t>connectivity, but despite such efforts in an environment of great market liberalization and faster-growing telecommunications markets there still exists a large, unresolved rural divide.</w:t>
      </w:r>
      <w:proofErr w:type="gramEnd"/>
    </w:p>
    <w:p w:rsidR="00662809" w:rsidRDefault="00662809" w:rsidP="00662809">
      <w:pPr>
        <w:pStyle w:val="Standard"/>
        <w:spacing w:after="120"/>
      </w:pPr>
      <w:r>
        <w:t xml:space="preserve">It is becoming increasingly apparent that traditional market models are not able </w:t>
      </w:r>
      <w:proofErr w:type="gramStart"/>
      <w:r>
        <w:t>to fully address</w:t>
      </w:r>
      <w:proofErr w:type="gramEnd"/>
      <w:r>
        <w:t xml:space="preserve"> the connectivity needs of remote and rural areas. Stakeholders </w:t>
      </w:r>
      <w:proofErr w:type="gramStart"/>
      <w:r>
        <w:t>should, therefore, consider</w:t>
      </w:r>
      <w:proofErr w:type="gramEnd"/>
      <w:r>
        <w:t xml:space="preserve"> moving beyond infrastructure sharing and designating preferential access to available resources for remote communities</w:t>
      </w:r>
      <w:r>
        <w:rPr>
          <w:rStyle w:val="FootnoteReference"/>
        </w:rPr>
        <w:footnoteReference w:id="5"/>
      </w:r>
      <w:r>
        <w:t xml:space="preserve"> into adopting strategies for last-mile connectivity solutions through self-organized networks that complement traditional efforts</w:t>
      </w:r>
      <w:r>
        <w:rPr>
          <w:rStyle w:val="FootnoteReference"/>
        </w:rPr>
        <w:footnoteReference w:id="6"/>
      </w:r>
      <w:r>
        <w:t>.</w:t>
      </w:r>
    </w:p>
    <w:p w:rsidR="00662809" w:rsidRDefault="00C22FA1" w:rsidP="006D72F8">
      <w:pPr>
        <w:pStyle w:val="Standard"/>
        <w:numPr>
          <w:ilvl w:val="0"/>
          <w:numId w:val="5"/>
        </w:numPr>
        <w:spacing w:after="120"/>
        <w:ind w:left="357" w:hanging="357"/>
        <w:rPr>
          <w:b/>
        </w:rPr>
      </w:pPr>
      <w:r>
        <w:rPr>
          <w:b/>
        </w:rPr>
        <w:t>Complementary c</w:t>
      </w:r>
      <w:r w:rsidR="00662809">
        <w:rPr>
          <w:b/>
        </w:rPr>
        <w:t xml:space="preserve">onnectivity </w:t>
      </w:r>
      <w:r>
        <w:rPr>
          <w:b/>
        </w:rPr>
        <w:t>a</w:t>
      </w:r>
      <w:r w:rsidR="00662809">
        <w:rPr>
          <w:b/>
        </w:rPr>
        <w:t>pproaches</w:t>
      </w:r>
    </w:p>
    <w:p w:rsidR="00662809" w:rsidRDefault="00662809" w:rsidP="00662809">
      <w:pPr>
        <w:pStyle w:val="Standard"/>
        <w:spacing w:after="120"/>
      </w:pPr>
      <w:r>
        <w:t xml:space="preserve">Smaller scale network operators that provide complementary connectivity are typically—but not exclusively—not-for-profit, self-organized, and based on support and participation from the community. Importantly, the purpose </w:t>
      </w:r>
      <w:r w:rsidRPr="00AD2342">
        <w:t>of complementary network operators is</w:t>
      </w:r>
      <w:r>
        <w:t xml:space="preserve"> to develop infrastructure and provide low-cost connectivity in areas that </w:t>
      </w:r>
      <w:proofErr w:type="gramStart"/>
      <w:r>
        <w:t>are not served</w:t>
      </w:r>
      <w:proofErr w:type="gramEnd"/>
      <w:r>
        <w:t xml:space="preserve"> by commercial service providers due to both unprofitability and unaffordability</w:t>
      </w:r>
      <w:r>
        <w:rPr>
          <w:rStyle w:val="FootnoteReference"/>
        </w:rPr>
        <w:footnoteReference w:id="7"/>
      </w:r>
      <w:r>
        <w:t xml:space="preserve">. </w:t>
      </w:r>
    </w:p>
    <w:p w:rsidR="00662809" w:rsidRDefault="00662809" w:rsidP="00662809">
      <w:pPr>
        <w:pStyle w:val="Standard"/>
        <w:spacing w:after="120"/>
      </w:pPr>
      <w:r>
        <w:t xml:space="preserve">For example, </w:t>
      </w:r>
      <w:proofErr w:type="spellStart"/>
      <w:r>
        <w:t>Telecommunciaciones</w:t>
      </w:r>
      <w:proofErr w:type="spellEnd"/>
      <w:r>
        <w:t xml:space="preserve"> </w:t>
      </w:r>
      <w:proofErr w:type="spellStart"/>
      <w:r>
        <w:t>Indigenas</w:t>
      </w:r>
      <w:proofErr w:type="spellEnd"/>
      <w:r>
        <w:t xml:space="preserve"> </w:t>
      </w:r>
      <w:proofErr w:type="spellStart"/>
      <w:r>
        <w:t>Comunitarias</w:t>
      </w:r>
      <w:proofErr w:type="spellEnd"/>
      <w:r>
        <w:t xml:space="preserve"> A.C, in conjunction with several partners, developed Mexico’s first indigenous telecommunication network to connect 356 rural and remote towns that </w:t>
      </w:r>
      <w:proofErr w:type="gramStart"/>
      <w:r>
        <w:t>had not been previously connected</w:t>
      </w:r>
      <w:proofErr w:type="gramEnd"/>
      <w:r>
        <w:t xml:space="preserve"> by any incumbent operator</w:t>
      </w:r>
      <w:r>
        <w:rPr>
          <w:rStyle w:val="FootnoteReference"/>
        </w:rPr>
        <w:footnoteReference w:id="8"/>
      </w:r>
      <w:r>
        <w:t xml:space="preserve">. Not only </w:t>
      </w:r>
      <w:proofErr w:type="gramStart"/>
      <w:r>
        <w:t>was this telecommunication network implemented</w:t>
      </w:r>
      <w:proofErr w:type="gramEnd"/>
      <w:r>
        <w:t xml:space="preserve"> without causing harm or disruption to any other market participants, but this initial investment in infrastructural development also attracted new stakeholders and market entrants to the area. This is a clear example of why innovative policy development is a key enabler for these cases and an urgent need to replicate these models.</w:t>
      </w:r>
    </w:p>
    <w:p w:rsidR="00662809" w:rsidRDefault="00662809" w:rsidP="006D72F8">
      <w:pPr>
        <w:pStyle w:val="Standard"/>
        <w:numPr>
          <w:ilvl w:val="0"/>
          <w:numId w:val="5"/>
        </w:numPr>
        <w:spacing w:after="120"/>
        <w:ind w:left="357" w:hanging="357"/>
        <w:rPr>
          <w:b/>
        </w:rPr>
      </w:pPr>
      <w:r>
        <w:rPr>
          <w:b/>
        </w:rPr>
        <w:t xml:space="preserve">Impact of </w:t>
      </w:r>
      <w:r w:rsidR="00C22FA1">
        <w:rPr>
          <w:b/>
        </w:rPr>
        <w:t>complementary c</w:t>
      </w:r>
      <w:r>
        <w:rPr>
          <w:b/>
        </w:rPr>
        <w:t xml:space="preserve">onnectivity </w:t>
      </w:r>
      <w:r w:rsidR="00C22FA1">
        <w:rPr>
          <w:b/>
        </w:rPr>
        <w:t>a</w:t>
      </w:r>
      <w:r>
        <w:rPr>
          <w:b/>
        </w:rPr>
        <w:t xml:space="preserve">pproaches on </w:t>
      </w:r>
      <w:r w:rsidR="00C22FA1">
        <w:rPr>
          <w:b/>
        </w:rPr>
        <w:t>e</w:t>
      </w:r>
      <w:r>
        <w:rPr>
          <w:b/>
        </w:rPr>
        <w:t xml:space="preserve">conomic and </w:t>
      </w:r>
      <w:r w:rsidR="00C22FA1">
        <w:rPr>
          <w:b/>
        </w:rPr>
        <w:t>social d</w:t>
      </w:r>
      <w:r>
        <w:rPr>
          <w:b/>
        </w:rPr>
        <w:t>evelopment</w:t>
      </w:r>
    </w:p>
    <w:p w:rsidR="00662809" w:rsidRDefault="00662809" w:rsidP="00662809">
      <w:pPr>
        <w:pStyle w:val="Standard"/>
        <w:spacing w:after="120"/>
      </w:pPr>
      <w:bookmarkStart w:id="14" w:name="_1t3h5sf"/>
      <w:bookmarkEnd w:id="14"/>
      <w:r>
        <w:t xml:space="preserve">To demonstrate the potential that complementary connectivity approaches present to enabling economic and social development for rural and remote communities, some examples of implementations </w:t>
      </w:r>
      <w:proofErr w:type="gramStart"/>
      <w:r>
        <w:t>are presented</w:t>
      </w:r>
      <w:proofErr w:type="gramEnd"/>
      <w:r>
        <w:t xml:space="preserve"> below.</w:t>
      </w:r>
    </w:p>
    <w:p w:rsidR="00662809" w:rsidRPr="006D72F8" w:rsidRDefault="00662809" w:rsidP="006D72F8">
      <w:pPr>
        <w:pStyle w:val="Standard"/>
        <w:numPr>
          <w:ilvl w:val="1"/>
          <w:numId w:val="5"/>
        </w:numPr>
        <w:spacing w:after="120"/>
        <w:ind w:left="431" w:hanging="431"/>
        <w:rPr>
          <w:b/>
        </w:rPr>
      </w:pPr>
      <w:r w:rsidRPr="006D72F8">
        <w:rPr>
          <w:b/>
        </w:rPr>
        <w:t>Transformation of economic activity</w:t>
      </w:r>
    </w:p>
    <w:p w:rsidR="00662809" w:rsidRDefault="00662809" w:rsidP="00662809">
      <w:pPr>
        <w:pStyle w:val="Standard"/>
        <w:spacing w:after="120"/>
      </w:pPr>
      <w:proofErr w:type="gramStart"/>
      <w:r>
        <w:t xml:space="preserve">In </w:t>
      </w:r>
      <w:proofErr w:type="spellStart"/>
      <w:r>
        <w:t>Tusheti</w:t>
      </w:r>
      <w:proofErr w:type="spellEnd"/>
      <w:r>
        <w:t xml:space="preserve">, Georgia, the Georgian Telecom Operators Association partnered with the Internet Society (ISOC) Georgia Chapter, the </w:t>
      </w:r>
      <w:proofErr w:type="spellStart"/>
      <w:r>
        <w:t>Tusheti</w:t>
      </w:r>
      <w:proofErr w:type="spellEnd"/>
      <w:r>
        <w:t xml:space="preserve"> Development Fund, the Small and Medium Telecom Operators Association of Georgia (TOA), the Ministry of Economy and Sustainable Development, and the community of </w:t>
      </w:r>
      <w:proofErr w:type="spellStart"/>
      <w:r>
        <w:t>Tusheti</w:t>
      </w:r>
      <w:proofErr w:type="spellEnd"/>
      <w:r>
        <w:t>, to develop a model for providing fixed wireless access to the mountainous region, which had previously been unconnected by broadband and even mobile networks</w:t>
      </w:r>
      <w:r>
        <w:rPr>
          <w:rStyle w:val="FootnoteReference"/>
        </w:rPr>
        <w:footnoteReference w:id="9"/>
      </w:r>
      <w:r>
        <w:t>.</w:t>
      </w:r>
      <w:proofErr w:type="gramEnd"/>
    </w:p>
    <w:p w:rsidR="00662809" w:rsidRDefault="00662809" w:rsidP="00662809">
      <w:pPr>
        <w:pStyle w:val="Standard"/>
        <w:spacing w:after="120"/>
      </w:pPr>
      <w:r>
        <w:t xml:space="preserve">The self-organized nature of this infrastructural development was key to its sustainability: the community had both the experience and expertise to ensure that equipment selection and architectural considerations </w:t>
      </w:r>
      <w:proofErr w:type="gramStart"/>
      <w:r>
        <w:t>were based</w:t>
      </w:r>
      <w:proofErr w:type="gramEnd"/>
      <w:r>
        <w:t xml:space="preserve"> on the realities of the region’s remote geography and extreme climate. Moreover, the community was strategic in the deployment of this infrastructure, </w:t>
      </w:r>
      <w:r>
        <w:lastRenderedPageBreak/>
        <w:t xml:space="preserve">focusing on maximizing the economic impact of Internet connectivity. The </w:t>
      </w:r>
      <w:proofErr w:type="gramStart"/>
      <w:r>
        <w:t>access point installation plan</w:t>
      </w:r>
      <w:proofErr w:type="gramEnd"/>
      <w:r>
        <w:t xml:space="preserve"> focused specifically on connecting hotels, guesthouses, and other businesses that are linked to the tourism industry, which is the main source of the region’s economy. In just two years since this infrastructural development, the </w:t>
      </w:r>
      <w:proofErr w:type="spellStart"/>
      <w:r>
        <w:t>Tusheti</w:t>
      </w:r>
      <w:proofErr w:type="spellEnd"/>
      <w:r>
        <w:t xml:space="preserve"> hospitality sector saw an increase in visitors of over 10%.</w:t>
      </w:r>
    </w:p>
    <w:p w:rsidR="00662809" w:rsidRPr="006D72F8" w:rsidRDefault="00662809" w:rsidP="006D72F8">
      <w:pPr>
        <w:pStyle w:val="Standard"/>
        <w:numPr>
          <w:ilvl w:val="1"/>
          <w:numId w:val="5"/>
        </w:numPr>
        <w:spacing w:after="120"/>
        <w:ind w:left="431" w:hanging="431"/>
        <w:rPr>
          <w:b/>
        </w:rPr>
      </w:pPr>
      <w:r w:rsidRPr="006D72F8">
        <w:rPr>
          <w:b/>
        </w:rPr>
        <w:t>Optimization of human capital</w:t>
      </w:r>
    </w:p>
    <w:p w:rsidR="00662809" w:rsidRDefault="00662809" w:rsidP="00662809">
      <w:pPr>
        <w:pStyle w:val="Standard"/>
        <w:spacing w:after="120"/>
      </w:pPr>
      <w:r>
        <w:t xml:space="preserve">In South Africa’s Eastern Cape </w:t>
      </w:r>
      <w:proofErr w:type="gramStart"/>
      <w:r>
        <w:t>province</w:t>
      </w:r>
      <w:proofErr w:type="gramEnd"/>
      <w:r>
        <w:t xml:space="preserve">, the rural community of </w:t>
      </w:r>
      <w:proofErr w:type="spellStart"/>
      <w:r>
        <w:t>Mankosi</w:t>
      </w:r>
      <w:proofErr w:type="spellEnd"/>
      <w:r>
        <w:t xml:space="preserve"> worked with researchers from the University of the Western Cape to set up a telecommunications cooperative called </w:t>
      </w:r>
      <w:proofErr w:type="spellStart"/>
      <w:r>
        <w:t>Zenzeleni</w:t>
      </w:r>
      <w:proofErr w:type="spellEnd"/>
      <w:r>
        <w:t xml:space="preserve"> Networks </w:t>
      </w:r>
      <w:proofErr w:type="spellStart"/>
      <w:r>
        <w:t>Mankosi</w:t>
      </w:r>
      <w:proofErr w:type="spellEnd"/>
      <w:r>
        <w:rPr>
          <w:rStyle w:val="FootnoteReference"/>
        </w:rPr>
        <w:footnoteReference w:id="10"/>
      </w:r>
      <w:r>
        <w:t xml:space="preserve">, which provides solar-powered wireless mesh connectivity to its 3,500 residents. As a licensed Internet service provider, </w:t>
      </w:r>
      <w:proofErr w:type="spellStart"/>
      <w:r>
        <w:t>Zenzeleni</w:t>
      </w:r>
      <w:proofErr w:type="spellEnd"/>
      <w:r>
        <w:t xml:space="preserve"> works directly with incumbent regional network operators </w:t>
      </w:r>
      <w:proofErr w:type="spellStart"/>
      <w:r>
        <w:t>EastTel</w:t>
      </w:r>
      <w:proofErr w:type="spellEnd"/>
      <w:r>
        <w:t xml:space="preserve"> and </w:t>
      </w:r>
      <w:proofErr w:type="spellStart"/>
      <w:r>
        <w:t>OpenServe</w:t>
      </w:r>
      <w:proofErr w:type="spellEnd"/>
      <w:r>
        <w:t xml:space="preserve"> to purchase backhaul Internet connectivity from them, reflecting a truly complementary relationship.</w:t>
      </w:r>
    </w:p>
    <w:p w:rsidR="00662809" w:rsidRDefault="00662809" w:rsidP="00662809">
      <w:pPr>
        <w:pStyle w:val="Standard"/>
        <w:spacing w:after="120"/>
      </w:pPr>
      <w:proofErr w:type="spellStart"/>
      <w:r>
        <w:t>Mankosi</w:t>
      </w:r>
      <w:proofErr w:type="spellEnd"/>
      <w:r>
        <w:t xml:space="preserve"> </w:t>
      </w:r>
      <w:proofErr w:type="gramStart"/>
      <w:r>
        <w:t>is plagued</w:t>
      </w:r>
      <w:proofErr w:type="gramEnd"/>
      <w:r>
        <w:t xml:space="preserve"> by high unemployment rates. This constraint adds up to the high costs of mobile devices and </w:t>
      </w:r>
      <w:proofErr w:type="gramStart"/>
      <w:r>
        <w:t>subscriptions:</w:t>
      </w:r>
      <w:proofErr w:type="gramEnd"/>
      <w:r>
        <w:t xml:space="preserve"> research showed that people in the region spend up to 22% of their income on these costs alone.</w:t>
      </w:r>
      <w:r>
        <w:rPr>
          <w:rStyle w:val="FootnoteReference"/>
        </w:rPr>
        <w:footnoteReference w:id="11"/>
      </w:r>
      <w:r>
        <w:t xml:space="preserve">. Since the introduction of the </w:t>
      </w:r>
      <w:proofErr w:type="spellStart"/>
      <w:r>
        <w:t>Zenzeleni</w:t>
      </w:r>
      <w:proofErr w:type="spellEnd"/>
      <w:r>
        <w:t xml:space="preserve"> network, data costs have dropped dramatically, to only a tenth of the market price, and between 20 and 40 times cheaper than previously offered</w:t>
      </w:r>
      <w:r>
        <w:rPr>
          <w:rStyle w:val="FootnoteReference"/>
        </w:rPr>
        <w:footnoteReference w:id="12"/>
      </w:r>
      <w:r>
        <w:t xml:space="preserve">. Moreover, the cooperative structure of the </w:t>
      </w:r>
      <w:proofErr w:type="spellStart"/>
      <w:r>
        <w:t>Zenzeleni</w:t>
      </w:r>
      <w:proofErr w:type="spellEnd"/>
      <w:r>
        <w:t xml:space="preserve"> model has ensured that more revenue stays in the </w:t>
      </w:r>
      <w:proofErr w:type="spellStart"/>
      <w:r>
        <w:t>Mankosi</w:t>
      </w:r>
      <w:proofErr w:type="spellEnd"/>
      <w:r>
        <w:t xml:space="preserve"> community. In recent </w:t>
      </w:r>
      <w:proofErr w:type="gramStart"/>
      <w:r>
        <w:t>years</w:t>
      </w:r>
      <w:proofErr w:type="gramEnd"/>
      <w:r>
        <w:t xml:space="preserve"> the revenue was used for microloans to local residents that sought to start small businesses.</w:t>
      </w:r>
    </w:p>
    <w:p w:rsidR="00662809" w:rsidRDefault="00662809" w:rsidP="00662809">
      <w:pPr>
        <w:pStyle w:val="Standard"/>
        <w:spacing w:after="120"/>
      </w:pPr>
      <w:r>
        <w:t xml:space="preserve">The unique, self-organized model of the complementary network in </w:t>
      </w:r>
      <w:proofErr w:type="spellStart"/>
      <w:r>
        <w:t>Mankosi</w:t>
      </w:r>
      <w:proofErr w:type="spellEnd"/>
      <w:r>
        <w:t xml:space="preserve"> has responded directly to the needs of economically vulnerable residents. During the course of 2019, a cooperative following the similar process was set up via the inhabitants from </w:t>
      </w:r>
      <w:proofErr w:type="spellStart"/>
      <w:r>
        <w:t>Zithulele</w:t>
      </w:r>
      <w:proofErr w:type="spellEnd"/>
      <w:r>
        <w:t>, a nearby village</w:t>
      </w:r>
      <w:r>
        <w:rPr>
          <w:rStyle w:val="FootnoteReference"/>
        </w:rPr>
        <w:footnoteReference w:id="13"/>
      </w:r>
      <w:r>
        <w:t>.</w:t>
      </w:r>
    </w:p>
    <w:p w:rsidR="00662809" w:rsidRPr="006D72F8" w:rsidRDefault="00662809" w:rsidP="006D72F8">
      <w:pPr>
        <w:pStyle w:val="Standard"/>
        <w:numPr>
          <w:ilvl w:val="1"/>
          <w:numId w:val="5"/>
        </w:numPr>
        <w:spacing w:after="120"/>
        <w:ind w:left="431" w:hanging="431"/>
        <w:rPr>
          <w:b/>
        </w:rPr>
      </w:pPr>
      <w:r w:rsidRPr="006D72F8">
        <w:rPr>
          <w:b/>
        </w:rPr>
        <w:t>Infrastructure development and innovation</w:t>
      </w:r>
    </w:p>
    <w:p w:rsidR="00662809" w:rsidRDefault="00662809" w:rsidP="00662809">
      <w:pPr>
        <w:pStyle w:val="Standard"/>
        <w:spacing w:after="120"/>
      </w:pPr>
      <w:r>
        <w:t xml:space="preserve">In the rural areas of Catalonia, Spain, the </w:t>
      </w:r>
      <w:proofErr w:type="spellStart"/>
      <w:r>
        <w:t>Guifi</w:t>
      </w:r>
      <w:proofErr w:type="spellEnd"/>
      <w:r>
        <w:t xml:space="preserve"> network has provided complementary connectivity for nearly 20 years, spanning over 67,000 kilometers and more than 30,000 homes</w:t>
      </w:r>
      <w:r>
        <w:rPr>
          <w:rStyle w:val="FootnoteReference"/>
        </w:rPr>
        <w:footnoteReference w:id="14"/>
      </w:r>
      <w:r>
        <w:t>. In the intervening years, the Guifi.net Foundation has led innovation in the field of telecommunication/ICT infrastructure, both in terms of its technical features and its operations model.</w:t>
      </w:r>
      <w:r w:rsidR="00DD6806">
        <w:t xml:space="preserve"> </w:t>
      </w:r>
    </w:p>
    <w:p w:rsidR="00662809" w:rsidRDefault="00662809" w:rsidP="00662809">
      <w:pPr>
        <w:pStyle w:val="Standard"/>
        <w:spacing w:after="120"/>
      </w:pPr>
      <w:r>
        <w:t xml:space="preserve">The </w:t>
      </w:r>
      <w:proofErr w:type="spellStart"/>
      <w:r>
        <w:t>Guifi</w:t>
      </w:r>
      <w:proofErr w:type="spellEnd"/>
      <w:r>
        <w:t xml:space="preserve"> network </w:t>
      </w:r>
      <w:proofErr w:type="gramStart"/>
      <w:r>
        <w:t>has been deployed</w:t>
      </w:r>
      <w:proofErr w:type="gramEnd"/>
      <w:r>
        <w:t xml:space="preserve"> on an architectural model that was both inventive and reflective of the needs of the communities that it services. The network has identified creative ways of reducing installation costs—for example, taking advantage of existing water or sanitation infrastructure networks for laying the cable</w:t>
      </w:r>
      <w:r>
        <w:rPr>
          <w:rStyle w:val="FootnoteReference"/>
        </w:rPr>
        <w:footnoteReference w:id="15"/>
      </w:r>
      <w:r>
        <w:t>.</w:t>
      </w:r>
    </w:p>
    <w:p w:rsidR="00662809" w:rsidRDefault="00662809" w:rsidP="00662809">
      <w:pPr>
        <w:pStyle w:val="Standard"/>
        <w:spacing w:after="120"/>
      </w:pPr>
      <w:r>
        <w:lastRenderedPageBreak/>
        <w:t xml:space="preserve">At the same time, the network has operated </w:t>
      </w:r>
      <w:proofErr w:type="gramStart"/>
      <w:r>
        <w:t>on the basis of</w:t>
      </w:r>
      <w:proofErr w:type="gramEnd"/>
      <w:r>
        <w:t xml:space="preserve"> an innovative public-private partnership that brings together volunteers, investors, customers, and public administrations</w:t>
      </w:r>
      <w:r>
        <w:rPr>
          <w:rStyle w:val="FootnoteReference"/>
        </w:rPr>
        <w:footnoteReference w:id="16"/>
      </w:r>
      <w:r>
        <w:t xml:space="preserve">. In 2015, the </w:t>
      </w:r>
      <w:proofErr w:type="spellStart"/>
      <w:r>
        <w:t>Guifi</w:t>
      </w:r>
      <w:proofErr w:type="spellEnd"/>
      <w:r>
        <w:t xml:space="preserve"> network </w:t>
      </w:r>
      <w:proofErr w:type="gramStart"/>
      <w:r>
        <w:t>was recognized</w:t>
      </w:r>
      <w:proofErr w:type="gramEnd"/>
      <w:r>
        <w:t xml:space="preserve"> by the European Commission, which awarded the partnership with a European Broadband Award for its innovative model of financing, business, and investment</w:t>
      </w:r>
      <w:r>
        <w:rPr>
          <w:rStyle w:val="FootnoteReference"/>
        </w:rPr>
        <w:footnoteReference w:id="17"/>
      </w:r>
      <w:r>
        <w:t>.</w:t>
      </w:r>
    </w:p>
    <w:p w:rsidR="00662809" w:rsidRDefault="00C22FA1" w:rsidP="00662809">
      <w:pPr>
        <w:pStyle w:val="Standard"/>
        <w:spacing w:after="120"/>
        <w:rPr>
          <w:b/>
        </w:rPr>
      </w:pPr>
      <w:r>
        <w:rPr>
          <w:b/>
        </w:rPr>
        <w:t>Conclusion and r</w:t>
      </w:r>
      <w:r w:rsidR="00662809">
        <w:rPr>
          <w:b/>
        </w:rPr>
        <w:t>ecommendation</w:t>
      </w:r>
    </w:p>
    <w:p w:rsidR="00662809" w:rsidRDefault="00662809" w:rsidP="00662809">
      <w:pPr>
        <w:pStyle w:val="Standard"/>
        <w:spacing w:after="120"/>
      </w:pPr>
      <w:r>
        <w:t xml:space="preserve">To bridge the urban/rural digital divide in efforts </w:t>
      </w:r>
      <w:proofErr w:type="gramStart"/>
      <w:r>
        <w:t>to truly enable</w:t>
      </w:r>
      <w:proofErr w:type="gramEnd"/>
      <w:r>
        <w:t xml:space="preserve"> economic and social development overall, Member States and Sector Members must consider approaches to telecommunication/ICT infrastructure development and service provision that complement traditional market models. Particularly, participants of ITU-D SG1 </w:t>
      </w:r>
      <w:proofErr w:type="gramStart"/>
      <w:r>
        <w:t>are invited</w:t>
      </w:r>
      <w:proofErr w:type="gramEnd"/>
      <w:r>
        <w:t xml:space="preserve"> to consider:</w:t>
      </w:r>
    </w:p>
    <w:p w:rsidR="00662809" w:rsidRDefault="00662809" w:rsidP="00D020C3">
      <w:pPr>
        <w:pStyle w:val="ListParagraph"/>
        <w:numPr>
          <w:ilvl w:val="0"/>
          <w:numId w:val="8"/>
        </w:numPr>
        <w:spacing w:before="40" w:after="40"/>
        <w:ind w:left="357" w:hanging="357"/>
      </w:pPr>
      <w:r>
        <w:t xml:space="preserve">How well the needs of rural and remote areas </w:t>
      </w:r>
      <w:proofErr w:type="gramStart"/>
      <w:r>
        <w:t>are being addressed</w:t>
      </w:r>
      <w:proofErr w:type="gramEnd"/>
      <w:r>
        <w:t xml:space="preserve"> by traditional market models for telecommunication/ICT infrastructure and service provision.</w:t>
      </w:r>
    </w:p>
    <w:p w:rsidR="00662809" w:rsidRDefault="00662809" w:rsidP="00D020C3">
      <w:pPr>
        <w:pStyle w:val="ListParagraph"/>
        <w:numPr>
          <w:ilvl w:val="0"/>
          <w:numId w:val="8"/>
        </w:numPr>
        <w:spacing w:before="40" w:after="40"/>
        <w:ind w:left="357" w:hanging="357"/>
      </w:pPr>
      <w:r>
        <w:t xml:space="preserve">Current smaller scale connectivity models that are self-organized and </w:t>
      </w:r>
      <w:proofErr w:type="gramStart"/>
      <w:r>
        <w:t>community-driven,</w:t>
      </w:r>
      <w:proofErr w:type="gramEnd"/>
      <w:r>
        <w:t xml:space="preserve"> and how they benefit the economic and social development of rural and remote communities.</w:t>
      </w:r>
    </w:p>
    <w:p w:rsidR="00662809" w:rsidRDefault="00662809" w:rsidP="00D020C3">
      <w:pPr>
        <w:pStyle w:val="ListParagraph"/>
        <w:numPr>
          <w:ilvl w:val="0"/>
          <w:numId w:val="8"/>
        </w:numPr>
        <w:spacing w:before="40" w:after="40"/>
        <w:ind w:left="357" w:hanging="357"/>
      </w:pPr>
      <w:r>
        <w:t>How public-private partnerships and other collaborations between communities and local government can help self-organized networks thrive as complements and partners to commercial service providers.</w:t>
      </w:r>
    </w:p>
    <w:p w:rsidR="00662809" w:rsidRDefault="00662809" w:rsidP="00D020C3">
      <w:pPr>
        <w:pStyle w:val="ListParagraph"/>
        <w:numPr>
          <w:ilvl w:val="0"/>
          <w:numId w:val="8"/>
        </w:numPr>
        <w:spacing w:before="40" w:after="40"/>
        <w:ind w:left="357" w:hanging="357"/>
      </w:pPr>
      <w:r>
        <w:t>The urgent need of policy models that enable, community-driven, smaller scale connectivity approaches in a legal and formal manner providing them with the necessary resources to support their constituency.</w:t>
      </w:r>
    </w:p>
    <w:p w:rsidR="008876E8" w:rsidRPr="008876E8" w:rsidRDefault="003C58BF" w:rsidP="006D72F8">
      <w:pPr>
        <w:tabs>
          <w:tab w:val="clear" w:pos="794"/>
          <w:tab w:val="clear" w:pos="1191"/>
          <w:tab w:val="clear" w:pos="1588"/>
          <w:tab w:val="clear" w:pos="1985"/>
        </w:tabs>
        <w:spacing w:after="120"/>
        <w:jc w:val="center"/>
      </w:pPr>
      <w:r>
        <w:t>_____________</w:t>
      </w:r>
      <w:r w:rsidR="004122C5">
        <w:t>_</w:t>
      </w:r>
      <w:r w:rsidR="00922EC1">
        <w:t>_</w:t>
      </w:r>
    </w:p>
    <w:sectPr w:rsidR="008876E8" w:rsidRPr="008876E8" w:rsidSect="00CC4B75">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851" w:left="1134" w:header="72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A5" w:rsidRDefault="00443DA5">
      <w:r>
        <w:separator/>
      </w:r>
    </w:p>
  </w:endnote>
  <w:endnote w:type="continuationSeparator" w:id="0">
    <w:p w:rsidR="00443DA5" w:rsidRDefault="0044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Simplified Arabic">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C7" w:rsidRDefault="00A3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57" w:rsidRPr="00777265" w:rsidRDefault="00721657" w:rsidP="008876E8">
    <w:pPr>
      <w:pStyle w:val="Footer"/>
      <w:rPr>
        <w:caps w:val="0"/>
        <w:sz w:val="18"/>
        <w:szCs w:val="18"/>
        <w:lang w:val="en-GB"/>
      </w:rPr>
    </w:pPr>
    <w:r w:rsidRPr="003125C3">
      <w:rPr>
        <w:caps w:val="0"/>
        <w:sz w:val="18"/>
        <w:szCs w:val="18"/>
      </w:rPr>
      <w:fldChar w:fldCharType="begin"/>
    </w:r>
    <w:r w:rsidRPr="003125C3">
      <w:rPr>
        <w:caps w:val="0"/>
        <w:sz w:val="18"/>
        <w:szCs w:val="18"/>
        <w:lang w:val="en-US"/>
      </w:rPr>
      <w:instrText xml:space="preserve"> FILENAME \p \* MERGEFORMAT </w:instrText>
    </w:r>
    <w:r w:rsidRPr="003125C3">
      <w:rPr>
        <w:caps w:val="0"/>
        <w:sz w:val="18"/>
        <w:szCs w:val="18"/>
      </w:rPr>
      <w:fldChar w:fldCharType="separate"/>
    </w:r>
    <w:r w:rsidR="00EB3F92">
      <w:rPr>
        <w:caps w:val="0"/>
        <w:sz w:val="18"/>
        <w:szCs w:val="18"/>
        <w:lang w:val="en-US"/>
      </w:rPr>
      <w:t>P:\STG\7StudyPeriod\2019\RGQ1\Contributions\254E.docx</w:t>
    </w:r>
    <w:r w:rsidRPr="003125C3">
      <w:rPr>
        <w:caps w:val="0"/>
        <w:sz w:val="18"/>
        <w:szCs w:val="18"/>
        <w:lang w:val="en-US"/>
      </w:rPr>
      <w:fldChar w:fldCharType="end"/>
    </w:r>
    <w:r w:rsidR="00C62DE8">
      <w:rPr>
        <w:caps w:val="0"/>
        <w:sz w:val="18"/>
        <w:szCs w:val="18"/>
        <w:lang w:val="en-US"/>
      </w:rPr>
      <w:tab/>
    </w:r>
    <w:r w:rsidRPr="003125C3">
      <w:rPr>
        <w:caps w:val="0"/>
        <w:sz w:val="18"/>
        <w:szCs w:val="18"/>
        <w:lang w:val="en-US"/>
      </w:rPr>
      <w:tab/>
    </w:r>
    <w:r w:rsidR="00EB3F92">
      <w:rPr>
        <w:caps w:val="0"/>
        <w:sz w:val="18"/>
        <w:szCs w:val="18"/>
        <w:lang w:val="en-US"/>
      </w:rPr>
      <w:t>10.09.2019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57" w:rsidRDefault="00721657" w:rsidP="003A5AFE">
    <w:pPr>
      <w:pStyle w:val="FirstFooter"/>
      <w:tabs>
        <w:tab w:val="left" w:pos="1559"/>
        <w:tab w:val="left" w:pos="3828"/>
      </w:tabs>
      <w:spacing w:before="0"/>
      <w:ind w:firstLine="1559"/>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CA1F0B" w:rsidRPr="00CB110F" w:rsidTr="00CA1F0B">
      <w:tc>
        <w:tcPr>
          <w:tcW w:w="1526" w:type="dxa"/>
          <w:tcBorders>
            <w:top w:val="single" w:sz="4" w:space="0" w:color="000000" w:themeColor="text1"/>
          </w:tcBorders>
        </w:tcPr>
        <w:p w:rsidR="00CA1F0B" w:rsidRPr="00BA0009" w:rsidRDefault="00CA1F0B" w:rsidP="00F32FEF">
          <w:pPr>
            <w:pStyle w:val="FirstFooter"/>
            <w:tabs>
              <w:tab w:val="left" w:pos="1559"/>
              <w:tab w:val="left" w:pos="3828"/>
            </w:tabs>
            <w:rPr>
              <w:sz w:val="18"/>
              <w:szCs w:val="18"/>
            </w:rPr>
          </w:pPr>
          <w:r w:rsidRPr="00BA0009">
            <w:rPr>
              <w:sz w:val="18"/>
              <w:szCs w:val="18"/>
              <w:lang w:val="en-US"/>
            </w:rPr>
            <w:t>Contact:</w:t>
          </w:r>
        </w:p>
      </w:tc>
      <w:tc>
        <w:tcPr>
          <w:tcW w:w="2410" w:type="dxa"/>
          <w:tcBorders>
            <w:top w:val="single" w:sz="4" w:space="0" w:color="000000" w:themeColor="text1"/>
          </w:tcBorders>
        </w:tcPr>
        <w:p w:rsidR="00CA1F0B" w:rsidRPr="00CB110F" w:rsidRDefault="00CA1F0B" w:rsidP="00F32FEF">
          <w:pPr>
            <w:pStyle w:val="FirstFooter"/>
            <w:tabs>
              <w:tab w:val="left" w:pos="2302"/>
            </w:tabs>
            <w:ind w:left="2302" w:hanging="2302"/>
            <w:rPr>
              <w:sz w:val="18"/>
              <w:szCs w:val="18"/>
              <w:lang w:val="en-US"/>
            </w:rPr>
          </w:pPr>
          <w:r>
            <w:rPr>
              <w:sz w:val="18"/>
              <w:szCs w:val="18"/>
              <w:lang w:val="en-US"/>
            </w:rPr>
            <w:t>Name/Organization/Entity:</w:t>
          </w:r>
        </w:p>
      </w:tc>
      <w:tc>
        <w:tcPr>
          <w:tcW w:w="5919" w:type="dxa"/>
          <w:tcBorders>
            <w:top w:val="single" w:sz="4" w:space="0" w:color="000000" w:themeColor="text1"/>
          </w:tcBorders>
        </w:tcPr>
        <w:p w:rsidR="00CA1F0B" w:rsidRPr="00E94BAB" w:rsidRDefault="00A33DC7" w:rsidP="00A33DC7">
          <w:pPr>
            <w:pStyle w:val="FirstFooter"/>
            <w:rPr>
              <w:sz w:val="18"/>
              <w:szCs w:val="18"/>
              <w:lang w:val="en-US"/>
            </w:rPr>
          </w:pPr>
          <w:bookmarkStart w:id="17" w:name="OrgName"/>
          <w:bookmarkEnd w:id="17"/>
          <w:proofErr w:type="spellStart"/>
          <w:r>
            <w:rPr>
              <w:sz w:val="18"/>
              <w:szCs w:val="18"/>
              <w:lang w:val="en-US"/>
            </w:rPr>
            <w:t>Ms</w:t>
          </w:r>
          <w:proofErr w:type="spellEnd"/>
          <w:r>
            <w:rPr>
              <w:sz w:val="18"/>
              <w:szCs w:val="18"/>
              <w:lang w:val="en-US"/>
            </w:rPr>
            <w:t xml:space="preserve"> </w:t>
          </w:r>
          <w:r w:rsidR="00443DA5">
            <w:rPr>
              <w:sz w:val="18"/>
              <w:szCs w:val="18"/>
              <w:lang w:val="en-US"/>
            </w:rPr>
            <w:t>Maureen Hernandez , Association for Progressive Communications (APC), South Africa</w:t>
          </w:r>
        </w:p>
      </w:tc>
    </w:tr>
    <w:tr w:rsidR="00CA1F0B" w:rsidRPr="00CB110F" w:rsidTr="00CA1F0B">
      <w:tc>
        <w:tcPr>
          <w:tcW w:w="1526" w:type="dxa"/>
        </w:tcPr>
        <w:p w:rsidR="00CA1F0B" w:rsidRPr="00CB110F" w:rsidRDefault="00CA1F0B" w:rsidP="00F32FEF">
          <w:pPr>
            <w:pStyle w:val="FirstFooter"/>
            <w:tabs>
              <w:tab w:val="left" w:pos="1559"/>
              <w:tab w:val="left" w:pos="3828"/>
            </w:tabs>
            <w:rPr>
              <w:sz w:val="20"/>
              <w:lang w:val="en-US"/>
            </w:rPr>
          </w:pPr>
        </w:p>
      </w:tc>
      <w:tc>
        <w:tcPr>
          <w:tcW w:w="2410" w:type="dxa"/>
        </w:tcPr>
        <w:p w:rsidR="00CA1F0B" w:rsidRPr="00CB110F" w:rsidRDefault="00CA1F0B" w:rsidP="00F32FEF">
          <w:pPr>
            <w:pStyle w:val="FirstFooter"/>
            <w:tabs>
              <w:tab w:val="left" w:pos="2302"/>
            </w:tabs>
            <w:rPr>
              <w:sz w:val="18"/>
              <w:szCs w:val="18"/>
              <w:lang w:val="en-US"/>
            </w:rPr>
          </w:pPr>
          <w:r w:rsidRPr="00CB110F">
            <w:rPr>
              <w:sz w:val="18"/>
              <w:szCs w:val="18"/>
              <w:lang w:val="en-US"/>
            </w:rPr>
            <w:t>Phone number:</w:t>
          </w:r>
        </w:p>
      </w:tc>
      <w:tc>
        <w:tcPr>
          <w:tcW w:w="5919" w:type="dxa"/>
        </w:tcPr>
        <w:p w:rsidR="00CA1F0B" w:rsidRPr="00E94BAB" w:rsidRDefault="00443DA5" w:rsidP="00A33DC7">
          <w:pPr>
            <w:pStyle w:val="FirstFooter"/>
            <w:rPr>
              <w:sz w:val="18"/>
              <w:szCs w:val="18"/>
              <w:lang w:val="en-US"/>
            </w:rPr>
          </w:pPr>
          <w:bookmarkStart w:id="18" w:name="PhoneNo"/>
          <w:bookmarkEnd w:id="18"/>
          <w:r>
            <w:rPr>
              <w:sz w:val="18"/>
              <w:szCs w:val="18"/>
              <w:lang w:val="en-US"/>
            </w:rPr>
            <w:t>+</w:t>
          </w:r>
          <w:r w:rsidR="006414A9">
            <w:rPr>
              <w:sz w:val="18"/>
              <w:szCs w:val="18"/>
              <w:lang w:val="en-US"/>
            </w:rPr>
            <w:t xml:space="preserve">27 </w:t>
          </w:r>
          <w:r>
            <w:rPr>
              <w:sz w:val="18"/>
              <w:szCs w:val="18"/>
              <w:lang w:val="en-US"/>
            </w:rPr>
            <w:t>135</w:t>
          </w:r>
          <w:r w:rsidR="006414A9">
            <w:rPr>
              <w:sz w:val="18"/>
              <w:szCs w:val="18"/>
              <w:lang w:val="en-US"/>
            </w:rPr>
            <w:t xml:space="preserve"> </w:t>
          </w:r>
          <w:r>
            <w:rPr>
              <w:sz w:val="18"/>
              <w:szCs w:val="18"/>
              <w:lang w:val="en-US"/>
            </w:rPr>
            <w:t>263</w:t>
          </w:r>
          <w:r w:rsidR="006414A9">
            <w:rPr>
              <w:sz w:val="18"/>
              <w:szCs w:val="18"/>
              <w:lang w:val="en-US"/>
            </w:rPr>
            <w:t xml:space="preserve"> </w:t>
          </w:r>
          <w:r>
            <w:rPr>
              <w:sz w:val="18"/>
              <w:szCs w:val="18"/>
              <w:lang w:val="en-US"/>
            </w:rPr>
            <w:t>13876</w:t>
          </w:r>
        </w:p>
      </w:tc>
    </w:tr>
    <w:tr w:rsidR="00CA1F0B" w:rsidRPr="00CB110F" w:rsidTr="00CA1F0B">
      <w:tc>
        <w:tcPr>
          <w:tcW w:w="1526" w:type="dxa"/>
        </w:tcPr>
        <w:p w:rsidR="00CA1F0B" w:rsidRPr="00CB110F" w:rsidRDefault="00CA1F0B" w:rsidP="00F32FEF">
          <w:pPr>
            <w:pStyle w:val="FirstFooter"/>
            <w:tabs>
              <w:tab w:val="left" w:pos="1559"/>
              <w:tab w:val="left" w:pos="3828"/>
            </w:tabs>
            <w:rPr>
              <w:sz w:val="20"/>
              <w:lang w:val="en-US"/>
            </w:rPr>
          </w:pPr>
        </w:p>
      </w:tc>
      <w:tc>
        <w:tcPr>
          <w:tcW w:w="2410" w:type="dxa"/>
        </w:tcPr>
        <w:p w:rsidR="00CA1F0B" w:rsidRPr="00CB110F" w:rsidRDefault="00CA1F0B" w:rsidP="00CA1F0B">
          <w:pPr>
            <w:pStyle w:val="FirstFooter"/>
            <w:tabs>
              <w:tab w:val="left" w:pos="2302"/>
            </w:tabs>
            <w:rPr>
              <w:sz w:val="18"/>
              <w:szCs w:val="18"/>
              <w:lang w:val="en-US"/>
            </w:rPr>
          </w:pPr>
          <w:r w:rsidRPr="00CB110F">
            <w:rPr>
              <w:sz w:val="18"/>
              <w:szCs w:val="18"/>
              <w:lang w:val="en-US"/>
            </w:rPr>
            <w:t>E-mail:</w:t>
          </w:r>
        </w:p>
      </w:tc>
      <w:bookmarkStart w:id="19" w:name="Email"/>
      <w:bookmarkEnd w:id="19"/>
      <w:tc>
        <w:tcPr>
          <w:tcW w:w="5919" w:type="dxa"/>
        </w:tcPr>
        <w:p w:rsidR="00CA1F0B" w:rsidRPr="00E94BAB" w:rsidRDefault="00A33DC7" w:rsidP="00A33DC7">
          <w:pPr>
            <w:pStyle w:val="FirstFooter"/>
            <w:rPr>
              <w:sz w:val="18"/>
              <w:szCs w:val="18"/>
              <w:lang w:val="en-US"/>
            </w:rPr>
          </w:pPr>
          <w:r>
            <w:rPr>
              <w:sz w:val="18"/>
              <w:szCs w:val="18"/>
              <w:lang w:val="en-US"/>
            </w:rPr>
            <w:fldChar w:fldCharType="begin"/>
          </w:r>
          <w:r>
            <w:rPr>
              <w:sz w:val="18"/>
              <w:szCs w:val="18"/>
              <w:lang w:val="en-US"/>
            </w:rPr>
            <w:instrText xml:space="preserve"> HYPERLINK "mailto:hernandezgmaureenp@gmail.com" </w:instrText>
          </w:r>
          <w:r>
            <w:rPr>
              <w:sz w:val="18"/>
              <w:szCs w:val="18"/>
              <w:lang w:val="en-US"/>
            </w:rPr>
            <w:fldChar w:fldCharType="separate"/>
          </w:r>
          <w:r w:rsidRPr="00F20CFA">
            <w:rPr>
              <w:rStyle w:val="Hyperlink"/>
              <w:sz w:val="18"/>
              <w:szCs w:val="18"/>
              <w:lang w:val="en-US"/>
            </w:rPr>
            <w:t>hernandezgmaureenp@gmail.com</w:t>
          </w:r>
          <w:r>
            <w:rPr>
              <w:sz w:val="18"/>
              <w:szCs w:val="18"/>
              <w:lang w:val="en-US"/>
            </w:rPr>
            <w:fldChar w:fldCharType="end"/>
          </w:r>
          <w:r>
            <w:rPr>
              <w:sz w:val="18"/>
              <w:szCs w:val="18"/>
              <w:lang w:val="en-US"/>
            </w:rPr>
            <w:t xml:space="preserve"> </w:t>
          </w:r>
        </w:p>
      </w:tc>
    </w:tr>
  </w:tbl>
  <w:p w:rsidR="003A5AFE" w:rsidRPr="00CB110F" w:rsidRDefault="003A5AFE" w:rsidP="00BA0009">
    <w:pPr>
      <w:pStyle w:val="FirstFooter"/>
      <w:tabs>
        <w:tab w:val="left" w:pos="1559"/>
        <w:tab w:val="left" w:pos="3828"/>
      </w:tabs>
      <w:spacing w:before="0"/>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A5" w:rsidRDefault="00443DA5">
      <w:r>
        <w:t>____________________</w:t>
      </w:r>
    </w:p>
  </w:footnote>
  <w:footnote w:type="continuationSeparator" w:id="0">
    <w:p w:rsidR="00443DA5" w:rsidRDefault="00443DA5">
      <w:r>
        <w:continuationSeparator/>
      </w:r>
    </w:p>
  </w:footnote>
  <w:footnote w:id="1">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OECD (2018), "Bridging the rural digital divide", OECD Digital Economy Papers, No. 265, OECD Publishing, Paris.</w:t>
      </w:r>
    </w:p>
    <w:p w:rsidR="00662809" w:rsidRPr="00C22FA1" w:rsidRDefault="00662809" w:rsidP="00662809">
      <w:pPr>
        <w:pStyle w:val="FootnoteText"/>
        <w:spacing w:before="0"/>
        <w:ind w:left="0" w:firstLine="0"/>
        <w:rPr>
          <w:sz w:val="18"/>
          <w:szCs w:val="18"/>
        </w:rPr>
      </w:pPr>
      <w:r w:rsidRPr="00C22FA1">
        <w:rPr>
          <w:sz w:val="18"/>
          <w:szCs w:val="18"/>
        </w:rPr>
        <w:t xml:space="preserve"> </w:t>
      </w:r>
      <w:hyperlink r:id="rId1" w:history="1">
        <w:r w:rsidRPr="00C22FA1">
          <w:rPr>
            <w:rStyle w:val="Hyperlink"/>
            <w:sz w:val="18"/>
            <w:szCs w:val="18"/>
          </w:rPr>
          <w:t>https://doi.org/10.1787/852bd3b9-en</w:t>
        </w:r>
      </w:hyperlink>
      <w:r w:rsidRPr="00C22FA1">
        <w:rPr>
          <w:sz w:val="18"/>
          <w:szCs w:val="18"/>
        </w:rPr>
        <w:t xml:space="preserve"> </w:t>
      </w:r>
    </w:p>
  </w:footnote>
  <w:footnote w:id="2">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proofErr w:type="spellStart"/>
      <w:r w:rsidRPr="00C22FA1">
        <w:rPr>
          <w:sz w:val="18"/>
          <w:szCs w:val="18"/>
        </w:rPr>
        <w:t>Thimm</w:t>
      </w:r>
      <w:proofErr w:type="spellEnd"/>
      <w:r w:rsidRPr="00C22FA1">
        <w:rPr>
          <w:sz w:val="18"/>
          <w:szCs w:val="18"/>
        </w:rPr>
        <w:t>, H. U. (1993). Linkages of rural infrastructure to food security. Regional Food Security and Rural Infrastructure, 2.</w:t>
      </w:r>
    </w:p>
  </w:footnote>
  <w:footnote w:id="3">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ITU (2018), “Current situation, mechanisms and constraints in ensuring widespread availability of telecommunication/ICT services in rural and isolated areas”, ITU-D SG 01 Contribution 44, Burundi (Republic of), </w:t>
      </w:r>
      <w:hyperlink r:id="rId2" w:history="1">
        <w:r w:rsidRPr="00C22FA1">
          <w:rPr>
            <w:rStyle w:val="Hyperlink"/>
            <w:sz w:val="18"/>
            <w:szCs w:val="18"/>
          </w:rPr>
          <w:t>https://www.itu.int/md/D18-SG01-C-0044</w:t>
        </w:r>
      </w:hyperlink>
      <w:r w:rsidRPr="00C22FA1">
        <w:rPr>
          <w:sz w:val="18"/>
          <w:szCs w:val="18"/>
        </w:rPr>
        <w:t xml:space="preserve"> </w:t>
      </w:r>
    </w:p>
  </w:footnote>
  <w:footnote w:id="4">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ITU (2018), “Submarine cable connectivity from mainland to other small islands with Government funding to provide reliable telecommunication and to increase broadband penetration in rural and remote islands”, ITU-D SG 01 Contribution 57, India (Republic of), </w:t>
      </w:r>
      <w:hyperlink r:id="rId3" w:history="1">
        <w:r w:rsidRPr="00C22FA1">
          <w:rPr>
            <w:rStyle w:val="Hyperlink"/>
            <w:sz w:val="18"/>
            <w:szCs w:val="18"/>
          </w:rPr>
          <w:t>https://www.itu.int/md/D18-SG01-C-0057</w:t>
        </w:r>
      </w:hyperlink>
      <w:r w:rsidRPr="00C22FA1">
        <w:rPr>
          <w:sz w:val="18"/>
          <w:szCs w:val="18"/>
        </w:rPr>
        <w:t xml:space="preserve"> </w:t>
      </w:r>
    </w:p>
  </w:footnote>
  <w:footnote w:id="5">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bookmarkStart w:id="13" w:name="_Hlt18968389"/>
      <w:r w:rsidRPr="00C22FA1">
        <w:rPr>
          <w:sz w:val="18"/>
          <w:szCs w:val="18"/>
        </w:rPr>
        <w:t xml:space="preserve"> ITU (2015), “Providing optical fibre backbone to remote areas through infrastructure sharing between the telecommunications and electricity sectors”, ITU-D SG 01 RAPPORTEUR GROUPS Contribution 87, Brazil (Federative Republic of), </w:t>
      </w:r>
      <w:hyperlink r:id="rId4" w:history="1">
        <w:r w:rsidRPr="00C22FA1">
          <w:rPr>
            <w:rStyle w:val="Hyperlink"/>
            <w:sz w:val="18"/>
            <w:szCs w:val="18"/>
          </w:rPr>
          <w:t>https://www.itu.int/md/D14-SG01.RGQ-C-0087/</w:t>
        </w:r>
      </w:hyperlink>
      <w:bookmarkEnd w:id="13"/>
      <w:r w:rsidRPr="00C22FA1">
        <w:rPr>
          <w:sz w:val="18"/>
          <w:szCs w:val="18"/>
        </w:rPr>
        <w:t xml:space="preserve"> </w:t>
      </w:r>
    </w:p>
  </w:footnote>
  <w:footnote w:id="6">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ITU (2015), “Telecommunication and ICT initiatives in Rwanda”, ITU-D SG 01 RAPPORTEUR GROUPS</w:t>
      </w:r>
      <w:r w:rsidR="00DD6806" w:rsidRPr="00C22FA1">
        <w:rPr>
          <w:sz w:val="18"/>
          <w:szCs w:val="18"/>
        </w:rPr>
        <w:t xml:space="preserve"> </w:t>
      </w:r>
      <w:r w:rsidRPr="00C22FA1">
        <w:rPr>
          <w:sz w:val="18"/>
          <w:szCs w:val="18"/>
        </w:rPr>
        <w:t>Contribution</w:t>
      </w:r>
      <w:r w:rsidR="00DD6806" w:rsidRPr="00C22FA1">
        <w:rPr>
          <w:sz w:val="18"/>
          <w:szCs w:val="18"/>
        </w:rPr>
        <w:t xml:space="preserve"> </w:t>
      </w:r>
      <w:r w:rsidRPr="00C22FA1">
        <w:rPr>
          <w:sz w:val="18"/>
          <w:szCs w:val="18"/>
        </w:rPr>
        <w:t xml:space="preserve">99, Rwanda (Republic of), </w:t>
      </w:r>
      <w:hyperlink r:id="rId5" w:history="1">
        <w:r w:rsidR="00C22FA1" w:rsidRPr="00811393">
          <w:rPr>
            <w:rStyle w:val="Hyperlink"/>
            <w:sz w:val="18"/>
            <w:szCs w:val="18"/>
          </w:rPr>
          <w:t>https://www.itu.int/md/D14-SG01.RGQ-C-0099/</w:t>
        </w:r>
      </w:hyperlink>
      <w:r w:rsidR="00C22FA1">
        <w:rPr>
          <w:sz w:val="18"/>
          <w:szCs w:val="18"/>
        </w:rPr>
        <w:t xml:space="preserve"> </w:t>
      </w:r>
      <w:r w:rsidRPr="00C22FA1">
        <w:rPr>
          <w:sz w:val="18"/>
          <w:szCs w:val="18"/>
        </w:rPr>
        <w:t xml:space="preserve"> </w:t>
      </w:r>
    </w:p>
  </w:footnote>
  <w:footnote w:id="7">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proofErr w:type="spellStart"/>
      <w:r w:rsidRPr="00C22FA1">
        <w:rPr>
          <w:sz w:val="18"/>
          <w:szCs w:val="18"/>
        </w:rPr>
        <w:t>Telecomunicaciones</w:t>
      </w:r>
      <w:proofErr w:type="spellEnd"/>
      <w:r w:rsidRPr="00C22FA1">
        <w:rPr>
          <w:sz w:val="18"/>
          <w:szCs w:val="18"/>
        </w:rPr>
        <w:t xml:space="preserve"> </w:t>
      </w:r>
      <w:proofErr w:type="spellStart"/>
      <w:r w:rsidRPr="00C22FA1">
        <w:rPr>
          <w:sz w:val="18"/>
          <w:szCs w:val="18"/>
        </w:rPr>
        <w:t>Indigenas</w:t>
      </w:r>
      <w:proofErr w:type="spellEnd"/>
      <w:r w:rsidRPr="00C22FA1">
        <w:rPr>
          <w:sz w:val="18"/>
          <w:szCs w:val="18"/>
        </w:rPr>
        <w:t xml:space="preserve"> </w:t>
      </w:r>
      <w:proofErr w:type="spellStart"/>
      <w:r w:rsidRPr="00C22FA1">
        <w:rPr>
          <w:sz w:val="18"/>
          <w:szCs w:val="18"/>
        </w:rPr>
        <w:t>Comunitarias</w:t>
      </w:r>
      <w:proofErr w:type="spellEnd"/>
      <w:r w:rsidRPr="00C22FA1">
        <w:rPr>
          <w:sz w:val="18"/>
          <w:szCs w:val="18"/>
        </w:rPr>
        <w:t xml:space="preserve"> (TIC A.C). (</w:t>
      </w:r>
      <w:proofErr w:type="spellStart"/>
      <w:r w:rsidRPr="00C22FA1">
        <w:rPr>
          <w:sz w:val="18"/>
          <w:szCs w:val="18"/>
        </w:rPr>
        <w:t>n.d.</w:t>
      </w:r>
      <w:proofErr w:type="spellEnd"/>
      <w:r w:rsidRPr="00C22FA1">
        <w:rPr>
          <w:sz w:val="18"/>
          <w:szCs w:val="18"/>
        </w:rPr>
        <w:t>).</w:t>
      </w:r>
      <w:r w:rsidR="00DD6806" w:rsidRPr="00C22FA1">
        <w:rPr>
          <w:sz w:val="18"/>
          <w:szCs w:val="18"/>
        </w:rPr>
        <w:t xml:space="preserve"> </w:t>
      </w:r>
    </w:p>
    <w:p w:rsidR="00662809" w:rsidRPr="00C22FA1" w:rsidRDefault="00C22FA1" w:rsidP="00662809">
      <w:pPr>
        <w:pStyle w:val="FootnoteText"/>
        <w:spacing w:before="0"/>
        <w:ind w:left="0" w:firstLine="0"/>
        <w:rPr>
          <w:sz w:val="18"/>
          <w:szCs w:val="18"/>
        </w:rPr>
      </w:pPr>
      <w:hyperlink r:id="rId6" w:history="1">
        <w:r w:rsidR="00662809" w:rsidRPr="00C22FA1">
          <w:rPr>
            <w:rStyle w:val="Hyperlink"/>
            <w:sz w:val="18"/>
            <w:szCs w:val="18"/>
          </w:rPr>
          <w:t>https://www.tic-ac.org/?utm_source=eleconomista&amp;utm_medium=tic-gana-amparo&amp;utm_campaign=blog_economicon</w:t>
        </w:r>
      </w:hyperlink>
      <w:r w:rsidR="00662809" w:rsidRPr="00C22FA1">
        <w:rPr>
          <w:sz w:val="18"/>
          <w:szCs w:val="18"/>
        </w:rPr>
        <w:t xml:space="preserve"> </w:t>
      </w:r>
    </w:p>
  </w:footnote>
  <w:footnote w:id="8">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proofErr w:type="spellStart"/>
      <w:r w:rsidRPr="00C22FA1">
        <w:rPr>
          <w:sz w:val="18"/>
          <w:szCs w:val="18"/>
        </w:rPr>
        <w:t>Telecomunicaciones</w:t>
      </w:r>
      <w:proofErr w:type="spellEnd"/>
      <w:r w:rsidRPr="00C22FA1">
        <w:rPr>
          <w:sz w:val="18"/>
          <w:szCs w:val="18"/>
        </w:rPr>
        <w:t xml:space="preserve"> </w:t>
      </w:r>
      <w:proofErr w:type="spellStart"/>
      <w:r w:rsidRPr="00C22FA1">
        <w:rPr>
          <w:sz w:val="18"/>
          <w:szCs w:val="18"/>
        </w:rPr>
        <w:t>Indigenas</w:t>
      </w:r>
      <w:proofErr w:type="spellEnd"/>
      <w:r w:rsidRPr="00C22FA1">
        <w:rPr>
          <w:sz w:val="18"/>
          <w:szCs w:val="18"/>
        </w:rPr>
        <w:t xml:space="preserve"> </w:t>
      </w:r>
      <w:proofErr w:type="spellStart"/>
      <w:r w:rsidRPr="00C22FA1">
        <w:rPr>
          <w:sz w:val="18"/>
          <w:szCs w:val="18"/>
        </w:rPr>
        <w:t>Comuitarias</w:t>
      </w:r>
      <w:proofErr w:type="spellEnd"/>
      <w:r w:rsidRPr="00C22FA1">
        <w:rPr>
          <w:sz w:val="18"/>
          <w:szCs w:val="18"/>
        </w:rPr>
        <w:t xml:space="preserve"> (</w:t>
      </w:r>
      <w:proofErr w:type="spellStart"/>
      <w:r w:rsidRPr="00C22FA1">
        <w:rPr>
          <w:sz w:val="18"/>
          <w:szCs w:val="18"/>
        </w:rPr>
        <w:t>n.d.</w:t>
      </w:r>
      <w:proofErr w:type="spellEnd"/>
      <w:r w:rsidRPr="00C22FA1">
        <w:rPr>
          <w:sz w:val="18"/>
          <w:szCs w:val="18"/>
        </w:rPr>
        <w:t xml:space="preserve">), </w:t>
      </w:r>
      <w:hyperlink r:id="rId7" w:history="1">
        <w:r w:rsidRPr="00C22FA1">
          <w:rPr>
            <w:rStyle w:val="Hyperlink"/>
            <w:sz w:val="18"/>
            <w:szCs w:val="18"/>
          </w:rPr>
          <w:t>https://www.tic-ac.org/</w:t>
        </w:r>
      </w:hyperlink>
      <w:r w:rsidRPr="00C22FA1">
        <w:rPr>
          <w:sz w:val="18"/>
          <w:szCs w:val="18"/>
        </w:rPr>
        <w:t xml:space="preserve"> </w:t>
      </w:r>
    </w:p>
  </w:footnote>
  <w:footnote w:id="9">
    <w:p w:rsidR="00662809" w:rsidRPr="00C22FA1" w:rsidRDefault="00662809" w:rsidP="00662809">
      <w:pPr>
        <w:pStyle w:val="Standard"/>
        <w:spacing w:before="0"/>
        <w:rPr>
          <w:sz w:val="18"/>
          <w:szCs w:val="18"/>
        </w:rPr>
      </w:pPr>
      <w:r w:rsidRPr="00C22FA1">
        <w:rPr>
          <w:rStyle w:val="FootnoteReference"/>
          <w:szCs w:val="18"/>
          <w:vertAlign w:val="superscript"/>
        </w:rPr>
        <w:footnoteRef/>
      </w:r>
      <w:r w:rsidRPr="00C22FA1">
        <w:rPr>
          <w:sz w:val="18"/>
          <w:szCs w:val="18"/>
        </w:rPr>
        <w:t xml:space="preserve"> Internet Society (2018), “The Impact of Community Networking in Europe’s Highest Settlements”, Georgia (Republic of). Internet Society. </w:t>
      </w:r>
      <w:hyperlink r:id="rId8" w:history="1">
        <w:r w:rsidR="00B206DD" w:rsidRPr="00C22FA1">
          <w:rPr>
            <w:rStyle w:val="Hyperlink"/>
            <w:sz w:val="18"/>
            <w:szCs w:val="18"/>
          </w:rPr>
          <w:t>https://www.internetsociety.org/wp-content/uploads/2018/12/2018-Connecting-Tusheti.pdf https://www.internetsociety.org/wp-content/uploads/2018/12/2018-Connecting-Tusheti.pdf</w:t>
        </w:r>
      </w:hyperlink>
      <w:r w:rsidR="00DD6806" w:rsidRPr="00C22FA1">
        <w:rPr>
          <w:sz w:val="18"/>
          <w:szCs w:val="18"/>
        </w:rPr>
        <w:t xml:space="preserve"> </w:t>
      </w:r>
    </w:p>
  </w:footnote>
  <w:footnote w:id="10">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Zenzeleni.net (</w:t>
      </w:r>
      <w:proofErr w:type="spellStart"/>
      <w:r w:rsidRPr="00C22FA1">
        <w:rPr>
          <w:sz w:val="18"/>
          <w:szCs w:val="18"/>
        </w:rPr>
        <w:t>n.d.</w:t>
      </w:r>
      <w:proofErr w:type="spellEnd"/>
      <w:r w:rsidRPr="00C22FA1">
        <w:rPr>
          <w:sz w:val="18"/>
          <w:szCs w:val="18"/>
        </w:rPr>
        <w:t xml:space="preserve">) </w:t>
      </w:r>
      <w:hyperlink r:id="rId9" w:history="1">
        <w:r w:rsidR="00B206DD" w:rsidRPr="00C22FA1">
          <w:rPr>
            <w:rStyle w:val="Hyperlink"/>
            <w:sz w:val="18"/>
            <w:szCs w:val="18"/>
          </w:rPr>
          <w:t>https://zenzeleni.net/</w:t>
        </w:r>
      </w:hyperlink>
    </w:p>
  </w:footnote>
  <w:footnote w:id="11">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bookmarkStart w:id="15" w:name="_Hlt18969762"/>
      <w:r w:rsidRPr="00C22FA1">
        <w:rPr>
          <w:sz w:val="18"/>
          <w:szCs w:val="18"/>
        </w:rPr>
        <w:t xml:space="preserve">Carlos Rey- Moreno, </w:t>
      </w:r>
      <w:proofErr w:type="spellStart"/>
      <w:r w:rsidRPr="00C22FA1">
        <w:rPr>
          <w:sz w:val="18"/>
          <w:szCs w:val="18"/>
        </w:rPr>
        <w:t>Renette</w:t>
      </w:r>
      <w:proofErr w:type="spellEnd"/>
      <w:r w:rsidRPr="00C22FA1">
        <w:rPr>
          <w:sz w:val="18"/>
          <w:szCs w:val="18"/>
        </w:rPr>
        <w:t xml:space="preserve"> </w:t>
      </w:r>
      <w:proofErr w:type="spellStart"/>
      <w:r w:rsidRPr="00C22FA1">
        <w:rPr>
          <w:sz w:val="18"/>
          <w:szCs w:val="18"/>
        </w:rPr>
        <w:t>Blignaut</w:t>
      </w:r>
      <w:proofErr w:type="spellEnd"/>
      <w:r w:rsidRPr="00C22FA1">
        <w:rPr>
          <w:sz w:val="18"/>
          <w:szCs w:val="18"/>
        </w:rPr>
        <w:t xml:space="preserve">, </w:t>
      </w:r>
      <w:proofErr w:type="gramStart"/>
      <w:r w:rsidRPr="00C22FA1">
        <w:rPr>
          <w:sz w:val="18"/>
          <w:szCs w:val="18"/>
        </w:rPr>
        <w:t>William</w:t>
      </w:r>
      <w:proofErr w:type="gramEnd"/>
      <w:r w:rsidRPr="00C22FA1">
        <w:rPr>
          <w:sz w:val="18"/>
          <w:szCs w:val="18"/>
        </w:rPr>
        <w:t xml:space="preserve"> D. Tucker &amp; Julian May (2016), “An in-depth study of the ICT ecosystem in a South African rural community: unveiling expenditure and communication patterns”</w:t>
      </w:r>
      <w:bookmarkEnd w:id="15"/>
      <w:r w:rsidRPr="00C22FA1">
        <w:rPr>
          <w:sz w:val="18"/>
          <w:szCs w:val="18"/>
        </w:rPr>
        <w:t xml:space="preserve">. Taylor &amp; Francis Online. </w:t>
      </w:r>
      <w:hyperlink r:id="rId10" w:history="1">
        <w:r w:rsidR="00B206DD" w:rsidRPr="00C22FA1">
          <w:rPr>
            <w:rStyle w:val="Hyperlink"/>
            <w:sz w:val="18"/>
            <w:szCs w:val="18"/>
          </w:rPr>
          <w:t>https://www.tandfonline.com/doi/full/10.1080/02681102.2016.1155145</w:t>
        </w:r>
      </w:hyperlink>
      <w:r w:rsidR="00B206DD" w:rsidRPr="00C22FA1">
        <w:rPr>
          <w:sz w:val="18"/>
          <w:szCs w:val="18"/>
        </w:rPr>
        <w:t xml:space="preserve"> </w:t>
      </w:r>
    </w:p>
  </w:footnote>
  <w:footnote w:id="12">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Bill Tucker (2017</w:t>
      </w:r>
      <w:proofErr w:type="gramStart"/>
      <w:r w:rsidRPr="00C22FA1">
        <w:rPr>
          <w:sz w:val="18"/>
          <w:szCs w:val="18"/>
        </w:rPr>
        <w:t>),</w:t>
      </w:r>
      <w:proofErr w:type="gramEnd"/>
      <w:r w:rsidRPr="00C22FA1">
        <w:rPr>
          <w:sz w:val="18"/>
          <w:szCs w:val="18"/>
        </w:rPr>
        <w:t xml:space="preserve"> “How a rural community built South Africa’s first ISP owned and run by a cooperative”. The Conversation. </w:t>
      </w:r>
      <w:hyperlink r:id="rId11" w:history="1">
        <w:r w:rsidR="00B206DD" w:rsidRPr="00C22FA1">
          <w:rPr>
            <w:rStyle w:val="Hyperlink"/>
            <w:sz w:val="18"/>
            <w:szCs w:val="18"/>
          </w:rPr>
          <w:t>https://theconversation.com/how-a-rural-community-built-south-africas-first-isp-owned-and-run-by-a-cooperative-87448</w:t>
        </w:r>
      </w:hyperlink>
    </w:p>
  </w:footnote>
  <w:footnote w:id="13">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proofErr w:type="spellStart"/>
      <w:r w:rsidRPr="00C22FA1">
        <w:rPr>
          <w:sz w:val="18"/>
          <w:szCs w:val="18"/>
        </w:rPr>
        <w:t>Vauldi</w:t>
      </w:r>
      <w:proofErr w:type="spellEnd"/>
      <w:r w:rsidRPr="00C22FA1">
        <w:rPr>
          <w:sz w:val="18"/>
          <w:szCs w:val="18"/>
        </w:rPr>
        <w:t xml:space="preserve"> </w:t>
      </w:r>
      <w:proofErr w:type="spellStart"/>
      <w:r w:rsidRPr="00C22FA1">
        <w:rPr>
          <w:sz w:val="18"/>
          <w:szCs w:val="18"/>
        </w:rPr>
        <w:t>Carelse</w:t>
      </w:r>
      <w:proofErr w:type="spellEnd"/>
      <w:r w:rsidRPr="00C22FA1">
        <w:rPr>
          <w:sz w:val="18"/>
          <w:szCs w:val="18"/>
        </w:rPr>
        <w:t xml:space="preserve"> (2019), “Internet access in Africa - Are mesh networks the future?” BBC News. </w:t>
      </w:r>
      <w:hyperlink r:id="rId12" w:history="1">
        <w:r w:rsidR="00CB7B87" w:rsidRPr="00C22FA1">
          <w:rPr>
            <w:rStyle w:val="Hyperlink"/>
            <w:sz w:val="18"/>
            <w:szCs w:val="18"/>
          </w:rPr>
          <w:t>https://www.bbc.com/news/av/world-africa-47723967/internet-access-in-africa-are-mesh-networks-the-future</w:t>
        </w:r>
      </w:hyperlink>
      <w:r w:rsidR="00CB7B87" w:rsidRPr="00C22FA1">
        <w:rPr>
          <w:sz w:val="18"/>
          <w:szCs w:val="18"/>
        </w:rPr>
        <w:t xml:space="preserve"> </w:t>
      </w:r>
    </w:p>
  </w:footnote>
  <w:footnote w:id="14">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[Commons Telecommunications Network Open, Free and Neutral] (</w:t>
      </w:r>
      <w:proofErr w:type="spellStart"/>
      <w:r w:rsidRPr="00C22FA1">
        <w:rPr>
          <w:sz w:val="18"/>
          <w:szCs w:val="18"/>
        </w:rPr>
        <w:t>n.d.</w:t>
      </w:r>
      <w:proofErr w:type="spellEnd"/>
      <w:r w:rsidRPr="00C22FA1">
        <w:rPr>
          <w:sz w:val="18"/>
          <w:szCs w:val="18"/>
        </w:rPr>
        <w:t xml:space="preserve">). Retrieved from: </w:t>
      </w:r>
      <w:hyperlink r:id="rId13" w:history="1">
        <w:r w:rsidR="00CB7B87" w:rsidRPr="00C22FA1">
          <w:rPr>
            <w:rStyle w:val="Hyperlink"/>
            <w:sz w:val="18"/>
            <w:szCs w:val="18"/>
          </w:rPr>
          <w:t>https://guifi.net/</w:t>
        </w:r>
      </w:hyperlink>
      <w:r w:rsidR="00DD6806" w:rsidRPr="00C22FA1">
        <w:rPr>
          <w:sz w:val="18"/>
          <w:szCs w:val="18"/>
        </w:rPr>
        <w:t xml:space="preserve"> </w:t>
      </w:r>
    </w:p>
  </w:footnote>
  <w:footnote w:id="15">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[Financial Times], (</w:t>
      </w:r>
      <w:proofErr w:type="spellStart"/>
      <w:r w:rsidRPr="00C22FA1">
        <w:rPr>
          <w:sz w:val="18"/>
          <w:szCs w:val="18"/>
        </w:rPr>
        <w:t>n.d.</w:t>
      </w:r>
      <w:proofErr w:type="spellEnd"/>
      <w:r w:rsidRPr="00C22FA1">
        <w:rPr>
          <w:sz w:val="18"/>
          <w:szCs w:val="18"/>
        </w:rPr>
        <w:t>). “How Catalan villages built independent broadband networks”.</w:t>
      </w:r>
    </w:p>
    <w:p w:rsidR="00662809" w:rsidRPr="00C22FA1" w:rsidRDefault="00C22FA1" w:rsidP="00662809">
      <w:pPr>
        <w:pStyle w:val="FootnoteText"/>
        <w:spacing w:before="0"/>
        <w:ind w:left="0" w:firstLine="0"/>
        <w:rPr>
          <w:sz w:val="18"/>
          <w:szCs w:val="18"/>
        </w:rPr>
      </w:pPr>
      <w:hyperlink r:id="rId14" w:history="1">
        <w:r w:rsidR="00CB7B87" w:rsidRPr="00C22FA1">
          <w:rPr>
            <w:rStyle w:val="Hyperlink"/>
            <w:sz w:val="18"/>
            <w:szCs w:val="18"/>
          </w:rPr>
          <w:t>https://www.ft.com/content/b15e9552-722a-11e7-93ff-99f383b09ff9</w:t>
        </w:r>
      </w:hyperlink>
      <w:r w:rsidR="00CB7B87" w:rsidRPr="00C22FA1">
        <w:rPr>
          <w:sz w:val="18"/>
          <w:szCs w:val="18"/>
        </w:rPr>
        <w:t xml:space="preserve"> </w:t>
      </w:r>
    </w:p>
  </w:footnote>
  <w:footnote w:id="16">
    <w:p w:rsidR="00662809" w:rsidRPr="00C22FA1" w:rsidRDefault="00662809" w:rsidP="00662809">
      <w:pPr>
        <w:pStyle w:val="FootnoteText"/>
        <w:spacing w:before="0"/>
        <w:ind w:left="0" w:firstLine="0"/>
        <w:rPr>
          <w:sz w:val="18"/>
          <w:szCs w:val="18"/>
        </w:rPr>
      </w:pPr>
      <w:r w:rsidRPr="00C22FA1">
        <w:rPr>
          <w:rStyle w:val="FootnoteReference"/>
          <w:szCs w:val="18"/>
          <w:vertAlign w:val="superscript"/>
        </w:rPr>
        <w:footnoteRef/>
      </w:r>
      <w:r w:rsidRPr="00C22FA1">
        <w:rPr>
          <w:sz w:val="18"/>
          <w:szCs w:val="18"/>
        </w:rPr>
        <w:t xml:space="preserve"> </w:t>
      </w:r>
      <w:proofErr w:type="spellStart"/>
      <w:r w:rsidRPr="00C22FA1">
        <w:rPr>
          <w:sz w:val="18"/>
          <w:szCs w:val="18"/>
        </w:rPr>
        <w:t>Beltrán</w:t>
      </w:r>
      <w:proofErr w:type="spellEnd"/>
      <w:r w:rsidRPr="00C22FA1">
        <w:rPr>
          <w:sz w:val="18"/>
          <w:szCs w:val="18"/>
        </w:rPr>
        <w:t xml:space="preserve">, F., Van der Wee, M., &amp; </w:t>
      </w:r>
      <w:proofErr w:type="spellStart"/>
      <w:r w:rsidRPr="00C22FA1">
        <w:rPr>
          <w:sz w:val="18"/>
          <w:szCs w:val="18"/>
        </w:rPr>
        <w:t>Verbruggen</w:t>
      </w:r>
      <w:proofErr w:type="spellEnd"/>
      <w:r w:rsidRPr="00C22FA1">
        <w:rPr>
          <w:sz w:val="18"/>
          <w:szCs w:val="18"/>
        </w:rPr>
        <w:t>, S. (2018). “A Comparative Analysis of Selected National and Regional Investment Initiatives That Seek to Achieve Broadband Expansion by Deploying NGA Networks”. Journal of Information Policy, 8, 267-295. doi:10.5325/jinfopoli.8.2018.0267.</w:t>
      </w:r>
    </w:p>
    <w:p w:rsidR="00662809" w:rsidRPr="00C22FA1" w:rsidRDefault="00C22FA1" w:rsidP="00662809">
      <w:pPr>
        <w:pStyle w:val="FootnoteText"/>
        <w:spacing w:before="0"/>
        <w:ind w:left="0" w:firstLine="0"/>
        <w:rPr>
          <w:sz w:val="18"/>
          <w:szCs w:val="18"/>
        </w:rPr>
      </w:pPr>
      <w:hyperlink r:id="rId15" w:anchor="metadata_info_tab_contents" w:history="1">
        <w:r w:rsidR="00CB7B87" w:rsidRPr="00C22FA1">
          <w:rPr>
            <w:rStyle w:val="Hyperlink"/>
            <w:sz w:val="18"/>
            <w:szCs w:val="18"/>
          </w:rPr>
          <w:t>https://www.jstor.org/stable/10.5325/jinfopoli.8.2018.0267#metadata_info_tab_contents</w:t>
        </w:r>
      </w:hyperlink>
      <w:r w:rsidR="00CB7B87" w:rsidRPr="00C22FA1">
        <w:rPr>
          <w:sz w:val="18"/>
          <w:szCs w:val="18"/>
        </w:rPr>
        <w:t xml:space="preserve"> </w:t>
      </w:r>
    </w:p>
  </w:footnote>
  <w:footnote w:id="17">
    <w:p w:rsidR="00662809" w:rsidRPr="00C22FA1" w:rsidRDefault="00662809" w:rsidP="00662809">
      <w:pPr>
        <w:pStyle w:val="Standard"/>
        <w:spacing w:before="0"/>
        <w:rPr>
          <w:sz w:val="18"/>
          <w:szCs w:val="18"/>
        </w:rPr>
      </w:pPr>
      <w:r w:rsidRPr="00C22FA1">
        <w:rPr>
          <w:rStyle w:val="FootnoteReference"/>
          <w:szCs w:val="18"/>
          <w:vertAlign w:val="superscript"/>
        </w:rPr>
        <w:footnoteRef/>
      </w:r>
      <w:r w:rsidRPr="00C22FA1">
        <w:rPr>
          <w:sz w:val="18"/>
          <w:szCs w:val="18"/>
        </w:rPr>
        <w:t xml:space="preserve"> Sara Prim (2015). “Catalan Internet project ‘Guifi.net’ wins European Broadband Award”. Catalan News.</w:t>
      </w:r>
    </w:p>
    <w:p w:rsidR="00662809" w:rsidRPr="00C22FA1" w:rsidRDefault="00C22FA1" w:rsidP="00662809">
      <w:pPr>
        <w:pStyle w:val="Standard"/>
        <w:spacing w:before="0"/>
        <w:rPr>
          <w:sz w:val="18"/>
          <w:szCs w:val="18"/>
        </w:rPr>
      </w:pPr>
      <w:hyperlink r:id="rId16" w:history="1">
        <w:r w:rsidR="00CB7B87" w:rsidRPr="00C22FA1">
          <w:rPr>
            <w:rStyle w:val="Hyperlink"/>
            <w:sz w:val="18"/>
            <w:szCs w:val="18"/>
          </w:rPr>
          <w:t>http://www.catalannews.com/society-science/item/catalan-internet-project-guifi-net-wins-european-broadband-award</w:t>
        </w:r>
      </w:hyperlink>
      <w:r w:rsidR="00CB7B87" w:rsidRPr="00C22FA1">
        <w:rPr>
          <w:sz w:val="18"/>
          <w:szCs w:val="18"/>
        </w:rPr>
        <w:t xml:space="preserve"> </w:t>
      </w:r>
      <w:bookmarkStart w:id="16" w:name="_GoBack"/>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C7" w:rsidRDefault="00A3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57" w:rsidRPr="009A7CF7" w:rsidRDefault="009A7CF7" w:rsidP="009A7CF7">
    <w:pPr>
      <w:pStyle w:val="Header"/>
      <w:tabs>
        <w:tab w:val="center" w:pos="4820"/>
        <w:tab w:val="right" w:pos="9639"/>
      </w:tabs>
      <w:jc w:val="left"/>
      <w:rPr>
        <w:rStyle w:val="PageNumber"/>
        <w:rFonts w:eastAsia="SimHei" w:cs="Simplified Arabic"/>
        <w:bCs/>
        <w:smallCaps/>
        <w:spacing w:val="24"/>
        <w:sz w:val="22"/>
        <w:szCs w:val="22"/>
        <w:lang w:val="fr-CH" w:eastAsia="zh-CN"/>
      </w:rPr>
    </w:pPr>
    <w:r>
      <w:tab/>
    </w:r>
    <w:r w:rsidRPr="00013826">
      <w:rPr>
        <w:rFonts w:eastAsia="SimHei" w:cs="Simplified Arabic"/>
        <w:bCs/>
        <w:smallCaps/>
        <w:spacing w:val="24"/>
        <w:sz w:val="22"/>
        <w:szCs w:val="22"/>
        <w:lang w:val="fr-CH" w:eastAsia="zh-CN"/>
      </w:rPr>
      <w:t>ITU-D/</w:t>
    </w:r>
    <w:r w:rsidRPr="00DF5A6F">
      <w:rPr>
        <w:rFonts w:eastAsia="SimHei" w:cs="Simplified Arabic"/>
        <w:bCs/>
        <w:smallCaps/>
        <w:spacing w:val="24"/>
        <w:sz w:val="22"/>
        <w:szCs w:val="22"/>
        <w:lang w:val="pt-PT" w:eastAsia="zh-CN"/>
      </w:rPr>
      <w:t>SG1RGQ</w:t>
    </w:r>
    <w:r w:rsidRPr="00013826">
      <w:rPr>
        <w:rFonts w:eastAsia="SimHei" w:cs="Simplified Arabic"/>
        <w:bCs/>
        <w:smallCaps/>
        <w:spacing w:val="24"/>
        <w:sz w:val="22"/>
        <w:szCs w:val="22"/>
        <w:lang w:val="fr-CH" w:eastAsia="zh-CN"/>
      </w:rPr>
      <w:t>/</w:t>
    </w:r>
    <w:r>
      <w:rPr>
        <w:rFonts w:eastAsia="SimHei" w:cs="Simplified Arabic"/>
        <w:bCs/>
        <w:smallCaps/>
        <w:spacing w:val="24"/>
        <w:sz w:val="22"/>
        <w:szCs w:val="22"/>
        <w:lang w:val="fr-CH" w:eastAsia="zh-CN"/>
      </w:rPr>
      <w:t>254</w:t>
    </w:r>
    <w:r w:rsidRPr="00013826">
      <w:rPr>
        <w:rFonts w:eastAsia="SimHei" w:cs="Simplified Arabic"/>
        <w:bCs/>
        <w:smallCaps/>
        <w:spacing w:val="24"/>
        <w:sz w:val="22"/>
        <w:szCs w:val="22"/>
        <w:lang w:val="fr-CH" w:eastAsia="zh-CN"/>
      </w:rPr>
      <w:t>-</w:t>
    </w:r>
    <w:r>
      <w:rPr>
        <w:rFonts w:eastAsia="SimHei" w:cs="Simplified Arabic"/>
        <w:bCs/>
        <w:smallCaps/>
        <w:spacing w:val="24"/>
        <w:sz w:val="22"/>
        <w:szCs w:val="22"/>
        <w:lang w:val="fr-CH" w:eastAsia="zh-CN"/>
      </w:rPr>
      <w:t>E</w:t>
    </w:r>
    <w:r w:rsidRPr="00013826">
      <w:rPr>
        <w:sz w:val="24"/>
        <w:szCs w:val="24"/>
        <w:lang w:val="fr-CH"/>
      </w:rPr>
      <w:tab/>
    </w:r>
    <w:r w:rsidRPr="00013826">
      <w:rPr>
        <w:rFonts w:eastAsia="SimHei" w:cs="Simplified Arabic"/>
        <w:bCs/>
        <w:smallCaps/>
        <w:spacing w:val="24"/>
        <w:sz w:val="22"/>
        <w:szCs w:val="22"/>
        <w:lang w:val="fr-CH" w:eastAsia="zh-CN"/>
      </w:rPr>
      <w:t xml:space="preserve">Page </w:t>
    </w:r>
    <w:sdt>
      <w:sdtPr>
        <w:rPr>
          <w:rFonts w:eastAsia="SimHei" w:cs="Simplified Arabic"/>
          <w:bCs/>
          <w:smallCaps/>
          <w:spacing w:val="24"/>
          <w:sz w:val="22"/>
          <w:szCs w:val="22"/>
          <w:lang w:val="en-US" w:eastAsia="zh-CN"/>
        </w:rPr>
        <w:id w:val="6377031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013826">
          <w:rPr>
            <w:rFonts w:eastAsia="SimHei" w:cs="Simplified Arabic"/>
            <w:bCs/>
            <w:smallCaps/>
            <w:spacing w:val="24"/>
            <w:sz w:val="22"/>
            <w:szCs w:val="22"/>
            <w:lang w:val="fr-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C22FA1">
          <w:rPr>
            <w:rFonts w:eastAsia="SimHei" w:cs="Simplified Arabic"/>
            <w:bCs/>
            <w:smallCaps/>
            <w:noProof/>
            <w:spacing w:val="24"/>
            <w:sz w:val="22"/>
            <w:szCs w:val="22"/>
            <w:lang w:val="fr-CH" w:eastAsia="zh-CN"/>
          </w:rPr>
          <w:t>5</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C7" w:rsidRDefault="00A33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6F64"/>
    <w:multiLevelType w:val="multilevel"/>
    <w:tmpl w:val="5F8CD298"/>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15:restartNumberingAfterBreak="0">
    <w:nsid w:val="0E230AFE"/>
    <w:multiLevelType w:val="multilevel"/>
    <w:tmpl w:val="A48C2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4B23D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E277C"/>
    <w:multiLevelType w:val="multilevel"/>
    <w:tmpl w:val="F4D88F52"/>
    <w:styleLink w:val="WWNum1"/>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 w15:restartNumberingAfterBreak="0">
    <w:nsid w:val="74203B6E"/>
    <w:multiLevelType w:val="multilevel"/>
    <w:tmpl w:val="46EA0304"/>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CEC4A62"/>
    <w:multiLevelType w:val="hybridMultilevel"/>
    <w:tmpl w:val="72440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A5"/>
    <w:rsid w:val="00002716"/>
    <w:rsid w:val="00005791"/>
    <w:rsid w:val="000149A7"/>
    <w:rsid w:val="0001798F"/>
    <w:rsid w:val="0002520B"/>
    <w:rsid w:val="000350F9"/>
    <w:rsid w:val="00037A9E"/>
    <w:rsid w:val="00037F91"/>
    <w:rsid w:val="000539F1"/>
    <w:rsid w:val="00055A2A"/>
    <w:rsid w:val="000615C1"/>
    <w:rsid w:val="00073C63"/>
    <w:rsid w:val="0009225C"/>
    <w:rsid w:val="000A17C4"/>
    <w:rsid w:val="000B2352"/>
    <w:rsid w:val="000C7B84"/>
    <w:rsid w:val="000D261B"/>
    <w:rsid w:val="000D58A3"/>
    <w:rsid w:val="000E3ED4"/>
    <w:rsid w:val="000E3F9C"/>
    <w:rsid w:val="000F1550"/>
    <w:rsid w:val="000F6644"/>
    <w:rsid w:val="00100833"/>
    <w:rsid w:val="00102F72"/>
    <w:rsid w:val="001114FC"/>
    <w:rsid w:val="00113EE8"/>
    <w:rsid w:val="0011455A"/>
    <w:rsid w:val="00114A65"/>
    <w:rsid w:val="00141699"/>
    <w:rsid w:val="00147000"/>
    <w:rsid w:val="001620C4"/>
    <w:rsid w:val="00163091"/>
    <w:rsid w:val="001645CB"/>
    <w:rsid w:val="00166305"/>
    <w:rsid w:val="001703C6"/>
    <w:rsid w:val="00173781"/>
    <w:rsid w:val="00175CAE"/>
    <w:rsid w:val="001828DB"/>
    <w:rsid w:val="001850FE"/>
    <w:rsid w:val="00185135"/>
    <w:rsid w:val="0019037C"/>
    <w:rsid w:val="001905A9"/>
    <w:rsid w:val="00191273"/>
    <w:rsid w:val="001942A7"/>
    <w:rsid w:val="0019587B"/>
    <w:rsid w:val="001A163D"/>
    <w:rsid w:val="001A441E"/>
    <w:rsid w:val="001A6733"/>
    <w:rsid w:val="001A6799"/>
    <w:rsid w:val="001B357F"/>
    <w:rsid w:val="001C3702"/>
    <w:rsid w:val="001C4656"/>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65618"/>
    <w:rsid w:val="002715FD"/>
    <w:rsid w:val="00285B33"/>
    <w:rsid w:val="002A5689"/>
    <w:rsid w:val="002C1EC7"/>
    <w:rsid w:val="002C7EA3"/>
    <w:rsid w:val="002D20AE"/>
    <w:rsid w:val="002D6C61"/>
    <w:rsid w:val="002E2104"/>
    <w:rsid w:val="002E6963"/>
    <w:rsid w:val="002F05D8"/>
    <w:rsid w:val="002F2DE0"/>
    <w:rsid w:val="002F5E25"/>
    <w:rsid w:val="0030071A"/>
    <w:rsid w:val="003052FF"/>
    <w:rsid w:val="003125C3"/>
    <w:rsid w:val="00312AE6"/>
    <w:rsid w:val="00317D1A"/>
    <w:rsid w:val="003211FF"/>
    <w:rsid w:val="00327247"/>
    <w:rsid w:val="00327A9D"/>
    <w:rsid w:val="0033130E"/>
    <w:rsid w:val="00360B73"/>
    <w:rsid w:val="0038365A"/>
    <w:rsid w:val="00386A89"/>
    <w:rsid w:val="0039648E"/>
    <w:rsid w:val="003A5AFE"/>
    <w:rsid w:val="003A5D5F"/>
    <w:rsid w:val="003A7FFE"/>
    <w:rsid w:val="003B0A63"/>
    <w:rsid w:val="003B50E1"/>
    <w:rsid w:val="003C1746"/>
    <w:rsid w:val="003C58BF"/>
    <w:rsid w:val="003D2B8A"/>
    <w:rsid w:val="003D451D"/>
    <w:rsid w:val="003F2DD8"/>
    <w:rsid w:val="003F50B2"/>
    <w:rsid w:val="00401BFF"/>
    <w:rsid w:val="00404424"/>
    <w:rsid w:val="004122C5"/>
    <w:rsid w:val="00412926"/>
    <w:rsid w:val="00413B78"/>
    <w:rsid w:val="00416DDE"/>
    <w:rsid w:val="00443DA5"/>
    <w:rsid w:val="0044411E"/>
    <w:rsid w:val="00453435"/>
    <w:rsid w:val="00466398"/>
    <w:rsid w:val="00484B88"/>
    <w:rsid w:val="0049128B"/>
    <w:rsid w:val="00493B49"/>
    <w:rsid w:val="00495501"/>
    <w:rsid w:val="004968B3"/>
    <w:rsid w:val="004A070A"/>
    <w:rsid w:val="004A320E"/>
    <w:rsid w:val="004A4E9C"/>
    <w:rsid w:val="004B1A3C"/>
    <w:rsid w:val="004D2CC3"/>
    <w:rsid w:val="004D35CB"/>
    <w:rsid w:val="004E20E5"/>
    <w:rsid w:val="004E64EA"/>
    <w:rsid w:val="004E7828"/>
    <w:rsid w:val="004F46AA"/>
    <w:rsid w:val="004F6A70"/>
    <w:rsid w:val="004F7F78"/>
    <w:rsid w:val="00502ABF"/>
    <w:rsid w:val="00504DB0"/>
    <w:rsid w:val="0051033E"/>
    <w:rsid w:val="0054420E"/>
    <w:rsid w:val="00544D1B"/>
    <w:rsid w:val="00545DC0"/>
    <w:rsid w:val="00545F6C"/>
    <w:rsid w:val="0055720C"/>
    <w:rsid w:val="0056423B"/>
    <w:rsid w:val="00573424"/>
    <w:rsid w:val="0057402F"/>
    <w:rsid w:val="005849D6"/>
    <w:rsid w:val="00585367"/>
    <w:rsid w:val="0058737E"/>
    <w:rsid w:val="00592518"/>
    <w:rsid w:val="00592E87"/>
    <w:rsid w:val="00594C4D"/>
    <w:rsid w:val="005A33B0"/>
    <w:rsid w:val="005C2DC2"/>
    <w:rsid w:val="005C304A"/>
    <w:rsid w:val="005C7C98"/>
    <w:rsid w:val="005D57C8"/>
    <w:rsid w:val="005D7761"/>
    <w:rsid w:val="005E0278"/>
    <w:rsid w:val="005E3CA0"/>
    <w:rsid w:val="005E44B1"/>
    <w:rsid w:val="005E67B0"/>
    <w:rsid w:val="005E7047"/>
    <w:rsid w:val="005E777F"/>
    <w:rsid w:val="005F1CA7"/>
    <w:rsid w:val="005F43DD"/>
    <w:rsid w:val="005F51A9"/>
    <w:rsid w:val="005F7416"/>
    <w:rsid w:val="00600C11"/>
    <w:rsid w:val="00606B89"/>
    <w:rsid w:val="00625FB8"/>
    <w:rsid w:val="006261BD"/>
    <w:rsid w:val="006414A9"/>
    <w:rsid w:val="0064734E"/>
    <w:rsid w:val="00650137"/>
    <w:rsid w:val="006509D7"/>
    <w:rsid w:val="00651CE8"/>
    <w:rsid w:val="0065521B"/>
    <w:rsid w:val="00662809"/>
    <w:rsid w:val="00671EF6"/>
    <w:rsid w:val="0067205B"/>
    <w:rsid w:val="006748F8"/>
    <w:rsid w:val="00680489"/>
    <w:rsid w:val="00690BB2"/>
    <w:rsid w:val="006A12E3"/>
    <w:rsid w:val="006A7710"/>
    <w:rsid w:val="006A7A61"/>
    <w:rsid w:val="006B1E59"/>
    <w:rsid w:val="006B2FFB"/>
    <w:rsid w:val="006C10A2"/>
    <w:rsid w:val="006C1F18"/>
    <w:rsid w:val="006D40D5"/>
    <w:rsid w:val="006D72F8"/>
    <w:rsid w:val="006E3645"/>
    <w:rsid w:val="006F009A"/>
    <w:rsid w:val="006F3D93"/>
    <w:rsid w:val="007019B1"/>
    <w:rsid w:val="00721657"/>
    <w:rsid w:val="00727B1A"/>
    <w:rsid w:val="00752258"/>
    <w:rsid w:val="00756688"/>
    <w:rsid w:val="00762880"/>
    <w:rsid w:val="00772290"/>
    <w:rsid w:val="00777265"/>
    <w:rsid w:val="007805E7"/>
    <w:rsid w:val="0078222A"/>
    <w:rsid w:val="00787D48"/>
    <w:rsid w:val="007A4E50"/>
    <w:rsid w:val="007A579D"/>
    <w:rsid w:val="007B18A7"/>
    <w:rsid w:val="007B250E"/>
    <w:rsid w:val="007C27FC"/>
    <w:rsid w:val="007C51FF"/>
    <w:rsid w:val="007C6D17"/>
    <w:rsid w:val="007D50E4"/>
    <w:rsid w:val="0080098E"/>
    <w:rsid w:val="008028CE"/>
    <w:rsid w:val="0080332E"/>
    <w:rsid w:val="008141E0"/>
    <w:rsid w:val="00816EE1"/>
    <w:rsid w:val="00816F88"/>
    <w:rsid w:val="00820BEE"/>
    <w:rsid w:val="00822323"/>
    <w:rsid w:val="00830E23"/>
    <w:rsid w:val="00833024"/>
    <w:rsid w:val="00844A56"/>
    <w:rsid w:val="00846BCA"/>
    <w:rsid w:val="00852081"/>
    <w:rsid w:val="00874DFD"/>
    <w:rsid w:val="00883086"/>
    <w:rsid w:val="008876E8"/>
    <w:rsid w:val="008879FD"/>
    <w:rsid w:val="00894C37"/>
    <w:rsid w:val="008A00EA"/>
    <w:rsid w:val="008A3F93"/>
    <w:rsid w:val="008A6236"/>
    <w:rsid w:val="008A6E1C"/>
    <w:rsid w:val="008A72FD"/>
    <w:rsid w:val="008B0A24"/>
    <w:rsid w:val="008B2EDF"/>
    <w:rsid w:val="008B54CB"/>
    <w:rsid w:val="008B5A3D"/>
    <w:rsid w:val="008C4010"/>
    <w:rsid w:val="008C4FDF"/>
    <w:rsid w:val="008C6B1F"/>
    <w:rsid w:val="008D5E4F"/>
    <w:rsid w:val="008F1130"/>
    <w:rsid w:val="008F14F5"/>
    <w:rsid w:val="008F3582"/>
    <w:rsid w:val="008F52D4"/>
    <w:rsid w:val="008F71C1"/>
    <w:rsid w:val="00902D41"/>
    <w:rsid w:val="00914004"/>
    <w:rsid w:val="0091574C"/>
    <w:rsid w:val="00922EC1"/>
    <w:rsid w:val="009301F1"/>
    <w:rsid w:val="00933A9E"/>
    <w:rsid w:val="009348D3"/>
    <w:rsid w:val="009359B8"/>
    <w:rsid w:val="009431F8"/>
    <w:rsid w:val="00947A35"/>
    <w:rsid w:val="00966CB5"/>
    <w:rsid w:val="00975786"/>
    <w:rsid w:val="00981CB7"/>
    <w:rsid w:val="00983E1F"/>
    <w:rsid w:val="00993F46"/>
    <w:rsid w:val="00997358"/>
    <w:rsid w:val="009A452B"/>
    <w:rsid w:val="009A4AAE"/>
    <w:rsid w:val="009A7CF7"/>
    <w:rsid w:val="009B050C"/>
    <w:rsid w:val="009B087F"/>
    <w:rsid w:val="009C110B"/>
    <w:rsid w:val="009C5441"/>
    <w:rsid w:val="009D119F"/>
    <w:rsid w:val="009D21B7"/>
    <w:rsid w:val="009D4F12"/>
    <w:rsid w:val="009E1ED5"/>
    <w:rsid w:val="009F3940"/>
    <w:rsid w:val="009F3EB2"/>
    <w:rsid w:val="009F6613"/>
    <w:rsid w:val="009F6EB1"/>
    <w:rsid w:val="00A20267"/>
    <w:rsid w:val="00A3158C"/>
    <w:rsid w:val="00A33DC7"/>
    <w:rsid w:val="00A33E32"/>
    <w:rsid w:val="00A421A1"/>
    <w:rsid w:val="00A53E7C"/>
    <w:rsid w:val="00A60087"/>
    <w:rsid w:val="00A705E8"/>
    <w:rsid w:val="00A77450"/>
    <w:rsid w:val="00A8338E"/>
    <w:rsid w:val="00A9208C"/>
    <w:rsid w:val="00A9392C"/>
    <w:rsid w:val="00A9462B"/>
    <w:rsid w:val="00A97D59"/>
    <w:rsid w:val="00AA3E09"/>
    <w:rsid w:val="00AA4BEF"/>
    <w:rsid w:val="00AB4962"/>
    <w:rsid w:val="00AB740F"/>
    <w:rsid w:val="00AC7221"/>
    <w:rsid w:val="00AE5961"/>
    <w:rsid w:val="00AF4971"/>
    <w:rsid w:val="00B01046"/>
    <w:rsid w:val="00B206DD"/>
    <w:rsid w:val="00B25B6D"/>
    <w:rsid w:val="00B310F9"/>
    <w:rsid w:val="00B34A57"/>
    <w:rsid w:val="00B37866"/>
    <w:rsid w:val="00B412FB"/>
    <w:rsid w:val="00B4576B"/>
    <w:rsid w:val="00B46350"/>
    <w:rsid w:val="00B72992"/>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4095"/>
    <w:rsid w:val="00C015F8"/>
    <w:rsid w:val="00C07E26"/>
    <w:rsid w:val="00C1011C"/>
    <w:rsid w:val="00C177C5"/>
    <w:rsid w:val="00C22FA1"/>
    <w:rsid w:val="00C34EC3"/>
    <w:rsid w:val="00C4038C"/>
    <w:rsid w:val="00C41CC5"/>
    <w:rsid w:val="00C42BA2"/>
    <w:rsid w:val="00C44066"/>
    <w:rsid w:val="00C44E13"/>
    <w:rsid w:val="00C5324F"/>
    <w:rsid w:val="00C60A41"/>
    <w:rsid w:val="00C62DE8"/>
    <w:rsid w:val="00C62DFB"/>
    <w:rsid w:val="00C66F4D"/>
    <w:rsid w:val="00C86600"/>
    <w:rsid w:val="00C87BCA"/>
    <w:rsid w:val="00C94506"/>
    <w:rsid w:val="00C954BC"/>
    <w:rsid w:val="00CA1F0B"/>
    <w:rsid w:val="00CB110F"/>
    <w:rsid w:val="00CB2A2E"/>
    <w:rsid w:val="00CB338A"/>
    <w:rsid w:val="00CB79C5"/>
    <w:rsid w:val="00CB7B87"/>
    <w:rsid w:val="00CC411F"/>
    <w:rsid w:val="00CC4B75"/>
    <w:rsid w:val="00CC732E"/>
    <w:rsid w:val="00CD7207"/>
    <w:rsid w:val="00CE0DBE"/>
    <w:rsid w:val="00CE5E4D"/>
    <w:rsid w:val="00CF02C4"/>
    <w:rsid w:val="00CF167F"/>
    <w:rsid w:val="00CF600E"/>
    <w:rsid w:val="00CF72E5"/>
    <w:rsid w:val="00D01F54"/>
    <w:rsid w:val="00D020C3"/>
    <w:rsid w:val="00D10FC7"/>
    <w:rsid w:val="00D20E99"/>
    <w:rsid w:val="00D21C83"/>
    <w:rsid w:val="00D23908"/>
    <w:rsid w:val="00D35BDD"/>
    <w:rsid w:val="00D44F1E"/>
    <w:rsid w:val="00D534E7"/>
    <w:rsid w:val="00D63006"/>
    <w:rsid w:val="00D6524C"/>
    <w:rsid w:val="00D72301"/>
    <w:rsid w:val="00D90B23"/>
    <w:rsid w:val="00D91B97"/>
    <w:rsid w:val="00D9320D"/>
    <w:rsid w:val="00D93ACC"/>
    <w:rsid w:val="00D93C08"/>
    <w:rsid w:val="00D95DAC"/>
    <w:rsid w:val="00DB1171"/>
    <w:rsid w:val="00DB1519"/>
    <w:rsid w:val="00DB2840"/>
    <w:rsid w:val="00DB7314"/>
    <w:rsid w:val="00DD66B4"/>
    <w:rsid w:val="00DD6806"/>
    <w:rsid w:val="00DE1972"/>
    <w:rsid w:val="00DE27AB"/>
    <w:rsid w:val="00DE4D37"/>
    <w:rsid w:val="00DF2AB3"/>
    <w:rsid w:val="00DF7250"/>
    <w:rsid w:val="00E00CAA"/>
    <w:rsid w:val="00E03EBF"/>
    <w:rsid w:val="00E05209"/>
    <w:rsid w:val="00E2184F"/>
    <w:rsid w:val="00E2258E"/>
    <w:rsid w:val="00E260C2"/>
    <w:rsid w:val="00E32596"/>
    <w:rsid w:val="00E368F7"/>
    <w:rsid w:val="00E36EB8"/>
    <w:rsid w:val="00E37FB8"/>
    <w:rsid w:val="00E40B07"/>
    <w:rsid w:val="00E42326"/>
    <w:rsid w:val="00E43544"/>
    <w:rsid w:val="00E44D89"/>
    <w:rsid w:val="00E477EA"/>
    <w:rsid w:val="00E63B14"/>
    <w:rsid w:val="00E83810"/>
    <w:rsid w:val="00E86933"/>
    <w:rsid w:val="00E86F4E"/>
    <w:rsid w:val="00E94BAB"/>
    <w:rsid w:val="00E97298"/>
    <w:rsid w:val="00E97753"/>
    <w:rsid w:val="00EA7DE7"/>
    <w:rsid w:val="00EB3F92"/>
    <w:rsid w:val="00EB6384"/>
    <w:rsid w:val="00EB7A8A"/>
    <w:rsid w:val="00EC6F80"/>
    <w:rsid w:val="00ED1AFE"/>
    <w:rsid w:val="00ED5A00"/>
    <w:rsid w:val="00EE3A64"/>
    <w:rsid w:val="00EE5942"/>
    <w:rsid w:val="00EF01CF"/>
    <w:rsid w:val="00F03590"/>
    <w:rsid w:val="00F03622"/>
    <w:rsid w:val="00F077FD"/>
    <w:rsid w:val="00F10D17"/>
    <w:rsid w:val="00F204F3"/>
    <w:rsid w:val="00F238B3"/>
    <w:rsid w:val="00F25586"/>
    <w:rsid w:val="00F2651D"/>
    <w:rsid w:val="00F27362"/>
    <w:rsid w:val="00F31498"/>
    <w:rsid w:val="00F32FEF"/>
    <w:rsid w:val="00F42E13"/>
    <w:rsid w:val="00F42F1C"/>
    <w:rsid w:val="00F43B44"/>
    <w:rsid w:val="00F440E5"/>
    <w:rsid w:val="00F448F6"/>
    <w:rsid w:val="00F52741"/>
    <w:rsid w:val="00F53D8A"/>
    <w:rsid w:val="00F561AB"/>
    <w:rsid w:val="00F626F7"/>
    <w:rsid w:val="00F9211C"/>
    <w:rsid w:val="00FA095D"/>
    <w:rsid w:val="00FA6C8B"/>
    <w:rsid w:val="00FB4139"/>
    <w:rsid w:val="00FB476E"/>
    <w:rsid w:val="00FC0D90"/>
    <w:rsid w:val="00FC7D8C"/>
    <w:rsid w:val="00FD3980"/>
    <w:rsid w:val="00FD431E"/>
    <w:rsid w:val="00FD5A2C"/>
    <w:rsid w:val="00FE0D47"/>
    <w:rsid w:val="00FE1D5C"/>
    <w:rsid w:val="00FE2F8B"/>
    <w:rsid w:val="00FE5204"/>
    <w:rsid w:val="00FF287F"/>
    <w:rsid w:val="00FF4B29"/>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DCE05D"/>
  <w15:docId w15:val="{718B2875-763E-44F9-BE68-F1E8EECF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超?级链,Style 58,超????,하이퍼링크2,超链接1"/>
    <w:basedOn w:val="DefaultParagraphFont"/>
    <w:qFormat/>
    <w:rsid w:val="00BA0009"/>
    <w:rPr>
      <w:color w:val="0000FF" w:themeColor="hyperlink"/>
      <w:u w:val="single"/>
    </w:rPr>
  </w:style>
  <w:style w:type="paragraph" w:customStyle="1" w:styleId="Standard">
    <w:name w:val="Standard"/>
    <w:rsid w:val="004968B3"/>
    <w:pPr>
      <w:tabs>
        <w:tab w:val="left" w:pos="794"/>
        <w:tab w:val="left" w:pos="1191"/>
        <w:tab w:val="left" w:pos="1588"/>
        <w:tab w:val="left" w:pos="1985"/>
      </w:tabs>
      <w:suppressAutoHyphens/>
      <w:autoSpaceDN w:val="0"/>
      <w:spacing w:before="120"/>
      <w:textAlignment w:val="baseline"/>
    </w:pPr>
    <w:rPr>
      <w:rFonts w:ascii="Calibri" w:eastAsia="Calibri" w:hAnsi="Calibri" w:cs="Calibri"/>
      <w:sz w:val="24"/>
      <w:szCs w:val="24"/>
      <w:lang w:eastAsia="en-US"/>
    </w:rPr>
  </w:style>
  <w:style w:type="character" w:customStyle="1" w:styleId="BalloonTextChar">
    <w:name w:val="Balloon Text Char"/>
    <w:rsid w:val="004968B3"/>
    <w:rPr>
      <w:rFonts w:ascii="Segoe UI" w:eastAsia="Segoe UI" w:hAnsi="Segoe UI" w:cs="Segoe UI"/>
      <w:sz w:val="18"/>
      <w:szCs w:val="18"/>
    </w:rPr>
  </w:style>
  <w:style w:type="paragraph" w:styleId="ListParagraph">
    <w:name w:val="List Paragraph"/>
    <w:basedOn w:val="Standard"/>
    <w:rsid w:val="00662809"/>
    <w:pPr>
      <w:ind w:left="720"/>
    </w:pPr>
  </w:style>
  <w:style w:type="paragraph" w:styleId="EndnoteText">
    <w:name w:val="endnote text"/>
    <w:basedOn w:val="Normal"/>
    <w:link w:val="EndnoteTextChar"/>
    <w:rsid w:val="00662809"/>
    <w:pPr>
      <w:widowControl w:val="0"/>
      <w:tabs>
        <w:tab w:val="clear" w:pos="794"/>
        <w:tab w:val="clear" w:pos="1191"/>
        <w:tab w:val="clear" w:pos="1588"/>
        <w:tab w:val="clear" w:pos="1985"/>
      </w:tabs>
      <w:suppressAutoHyphens/>
      <w:overflowPunct/>
      <w:autoSpaceDE/>
      <w:adjustRightInd/>
      <w:spacing w:before="0"/>
    </w:pPr>
    <w:rPr>
      <w:rFonts w:ascii="Calibri" w:eastAsia="Calibri" w:hAnsi="Calibri" w:cs="Calibri"/>
      <w:sz w:val="20"/>
      <w:lang w:val="en-US"/>
    </w:rPr>
  </w:style>
  <w:style w:type="character" w:customStyle="1" w:styleId="EndnoteTextChar">
    <w:name w:val="Endnote Text Char"/>
    <w:basedOn w:val="DefaultParagraphFont"/>
    <w:link w:val="EndnoteText"/>
    <w:rsid w:val="00662809"/>
    <w:rPr>
      <w:rFonts w:ascii="Calibri" w:eastAsia="Calibri" w:hAnsi="Calibri" w:cs="Calibri"/>
      <w:lang w:eastAsia="en-US"/>
    </w:rPr>
  </w:style>
  <w:style w:type="numbering" w:customStyle="1" w:styleId="WWNum1">
    <w:name w:val="WWNum1"/>
    <w:basedOn w:val="NoList"/>
    <w:rsid w:val="00662809"/>
    <w:pPr>
      <w:numPr>
        <w:numId w:val="1"/>
      </w:numPr>
    </w:pPr>
  </w:style>
  <w:style w:type="numbering" w:customStyle="1" w:styleId="WWNum2">
    <w:name w:val="WWNum2"/>
    <w:basedOn w:val="NoList"/>
    <w:rsid w:val="0066280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nternetsociety.org/wp-content/uploads/2018/12/2018-Connecting-Tusheti.pdf%20https:/www.internetsociety.org/wp-content/uploads/2018/12/2018-Connecting-Tusheti.pdf" TargetMode="External"/><Relationship Id="rId13" Type="http://schemas.openxmlformats.org/officeDocument/2006/relationships/hyperlink" Target="https://guifi.net/" TargetMode="External"/><Relationship Id="rId3" Type="http://schemas.openxmlformats.org/officeDocument/2006/relationships/hyperlink" Target="https://www.itu.int/md/D18-SG01-C-0057" TargetMode="External"/><Relationship Id="rId7" Type="http://schemas.openxmlformats.org/officeDocument/2006/relationships/hyperlink" Target="https://www.tic-ac.org/" TargetMode="External"/><Relationship Id="rId12" Type="http://schemas.openxmlformats.org/officeDocument/2006/relationships/hyperlink" Target="https://www.bbc.com/news/av/world-africa-47723967/internet-access-in-africa-are-mesh-networks-the-future" TargetMode="External"/><Relationship Id="rId2" Type="http://schemas.openxmlformats.org/officeDocument/2006/relationships/hyperlink" Target="https://www.itu.int/md/D18-SG01-C-0044" TargetMode="External"/><Relationship Id="rId16" Type="http://schemas.openxmlformats.org/officeDocument/2006/relationships/hyperlink" Target="http://www.catalannews.com/society-science/item/catalan-internet-project-guifi-net-wins-european-broadband-award" TargetMode="External"/><Relationship Id="rId1" Type="http://schemas.openxmlformats.org/officeDocument/2006/relationships/hyperlink" Target="https://doi.org/10.1787/852bd3b9-en" TargetMode="External"/><Relationship Id="rId6" Type="http://schemas.openxmlformats.org/officeDocument/2006/relationships/hyperlink" Target="https://www.tic-ac.org/?utm_source=eleconomista&amp;utm_medium=tic-gana-amparo&amp;utm_campaign=blog_economicon" TargetMode="External"/><Relationship Id="rId11" Type="http://schemas.openxmlformats.org/officeDocument/2006/relationships/hyperlink" Target="https://theconversation.com/how-a-rural-community-built-south-africas-first-isp-owned-and-run-by-a-cooperative-87448" TargetMode="External"/><Relationship Id="rId5" Type="http://schemas.openxmlformats.org/officeDocument/2006/relationships/hyperlink" Target="https://www.itu.int/md/D14-SG01.RGQ-C-0099/" TargetMode="External"/><Relationship Id="rId15" Type="http://schemas.openxmlformats.org/officeDocument/2006/relationships/hyperlink" Target="https://www.jstor.org/stable/10.5325/jinfopoli.8.2018.0267" TargetMode="External"/><Relationship Id="rId10" Type="http://schemas.openxmlformats.org/officeDocument/2006/relationships/hyperlink" Target="https://www.tandfonline.com/doi/full/10.1080/02681102.2016.1155145" TargetMode="External"/><Relationship Id="rId4" Type="http://schemas.openxmlformats.org/officeDocument/2006/relationships/hyperlink" Target="https://www.itu.int/md/D14-SG01.RGQ-C-0087/" TargetMode="External"/><Relationship Id="rId9" Type="http://schemas.openxmlformats.org/officeDocument/2006/relationships/hyperlink" Target="https://zenzeleni.net/" TargetMode="External"/><Relationship Id="rId14" Type="http://schemas.openxmlformats.org/officeDocument/2006/relationships/hyperlink" Target="https://www.ft.com/content/b15e9552-722a-11e7-93ff-99f383b09ff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TG\7StudyPeriod\2019\RGQ1\Templates\ST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3B14-851C-4D73-8646-15A11893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STG-en.dotm</Template>
  <TotalTime>5</TotalTime>
  <Pages>5</Pages>
  <Words>1626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Sund, Christine</cp:lastModifiedBy>
  <cp:revision>3</cp:revision>
  <cp:lastPrinted>2014-11-04T09:22:00Z</cp:lastPrinted>
  <dcterms:created xsi:type="dcterms:W3CDTF">2019-09-11T11:58:00Z</dcterms:created>
  <dcterms:modified xsi:type="dcterms:W3CDTF">2019-09-11T12:03:00Z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